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08A" w:rsidRDefault="00E8247F">
      <w:pPr>
        <w:shd w:val="clear" w:color="auto" w:fill="DEEBF6"/>
        <w:spacing w:line="240" w:lineRule="auto"/>
        <w:jc w:val="center"/>
        <w:rPr>
          <w:rFonts w:ascii="Calibri" w:eastAsia="Calibri" w:hAnsi="Calibri" w:cs="Calibri"/>
          <w:b/>
          <w:bCs/>
          <w:sz w:val="48"/>
          <w:szCs w:val="48"/>
        </w:rPr>
      </w:pPr>
      <w:r>
        <w:rPr>
          <w:rFonts w:ascii="Calibri" w:eastAsia="Calibri" w:hAnsi="Calibri" w:cs="Calibri"/>
          <w:b/>
          <w:bCs/>
          <w:sz w:val="48"/>
          <w:szCs w:val="48"/>
        </w:rPr>
        <w:t xml:space="preserve"> Projet AMRUGE-CI 2 -Pôle de simulation numérique « climat et développement durable » (IRD Contrats : 403649/00)</w:t>
      </w:r>
    </w:p>
    <w:p w:rsidR="002B308A" w:rsidRDefault="002B308A">
      <w:pPr>
        <w:spacing w:line="240" w:lineRule="auto"/>
        <w:rPr>
          <w:rFonts w:ascii="Calibri" w:eastAsia="Calibri" w:hAnsi="Calibri" w:cs="Calibri"/>
          <w:sz w:val="14"/>
          <w:szCs w:val="14"/>
        </w:rPr>
      </w:pPr>
    </w:p>
    <w:p w:rsidR="002B308A" w:rsidRDefault="00E8247F">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sz w:val="32"/>
          <w:szCs w:val="32"/>
        </w:rPr>
      </w:pPr>
      <w:r>
        <w:rPr>
          <w:rFonts w:ascii="Calibri" w:eastAsia="Calibri" w:hAnsi="Calibri" w:cs="Calibri"/>
          <w:b/>
          <w:bCs/>
          <w:sz w:val="32"/>
          <w:szCs w:val="32"/>
        </w:rPr>
        <w:t>Sous-volet « Formation RNER-CC »</w:t>
      </w:r>
    </w:p>
    <w:p w:rsidR="002B308A" w:rsidRDefault="00E8247F">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color w:val="0070C0"/>
          <w:sz w:val="32"/>
          <w:szCs w:val="32"/>
          <w:highlight w:val="white"/>
        </w:rPr>
      </w:pPr>
      <w:r>
        <w:rPr>
          <w:rFonts w:ascii="Calibri" w:eastAsia="Calibri" w:hAnsi="Calibri" w:cs="Calibri"/>
          <w:b/>
          <w:bCs/>
          <w:color w:val="0070C0"/>
          <w:sz w:val="32"/>
          <w:szCs w:val="32"/>
          <w:highlight w:val="white"/>
        </w:rPr>
        <w:t>Mise en œuvre du Master Professionnel en « Calcul Haute Performance et Intelligence Artificielle » &amp; des formations de courtes durées (séminaires doctoraux, certificats)</w:t>
      </w:r>
    </w:p>
    <w:p w:rsidR="002B308A" w:rsidRDefault="00E8247F">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sz w:val="28"/>
          <w:szCs w:val="28"/>
        </w:rPr>
      </w:pPr>
      <w:r>
        <w:rPr>
          <w:rFonts w:ascii="Calibri" w:eastAsia="Calibri" w:hAnsi="Calibri" w:cs="Calibri"/>
          <w:b/>
          <w:bCs/>
          <w:sz w:val="28"/>
          <w:szCs w:val="28"/>
        </w:rPr>
        <w:t>Partenariat UVCI – CNC-CI</w:t>
      </w:r>
    </w:p>
    <w:p w:rsidR="002B308A" w:rsidRDefault="002B308A">
      <w:pPr>
        <w:spacing w:line="240" w:lineRule="auto"/>
        <w:rPr>
          <w:rFonts w:ascii="Calibri" w:eastAsia="Calibri" w:hAnsi="Calibri" w:cs="Calibri"/>
          <w:sz w:val="12"/>
          <w:szCs w:val="12"/>
        </w:rPr>
      </w:pPr>
    </w:p>
    <w:p w:rsidR="002B308A" w:rsidRDefault="00E8247F">
      <w:pPr>
        <w:shd w:val="clear" w:color="auto" w:fill="C5E0B3"/>
        <w:spacing w:before="60" w:after="60" w:line="240" w:lineRule="auto"/>
        <w:jc w:val="center"/>
        <w:rPr>
          <w:rFonts w:ascii="Calibri" w:eastAsia="Calibri" w:hAnsi="Calibri" w:cs="Calibri"/>
          <w:b/>
          <w:bCs/>
          <w:sz w:val="56"/>
          <w:szCs w:val="56"/>
        </w:rPr>
      </w:pPr>
      <w:r>
        <w:rPr>
          <w:rFonts w:ascii="Calibri" w:eastAsia="Calibri" w:hAnsi="Calibri" w:cs="Calibri"/>
          <w:b/>
          <w:bCs/>
          <w:sz w:val="56"/>
          <w:szCs w:val="56"/>
        </w:rPr>
        <w:t xml:space="preserve">De la Descente de Gradient au </w:t>
      </w:r>
      <w:proofErr w:type="gramStart"/>
      <w:r>
        <w:rPr>
          <w:rFonts w:ascii="Calibri" w:eastAsia="Calibri" w:hAnsi="Calibri" w:cs="Calibri"/>
          <w:b/>
          <w:bCs/>
          <w:sz w:val="56"/>
          <w:szCs w:val="56"/>
        </w:rPr>
        <w:t>GPU:</w:t>
      </w:r>
      <w:proofErr w:type="gramEnd"/>
      <w:r>
        <w:rPr>
          <w:rFonts w:ascii="Calibri" w:eastAsia="Calibri" w:hAnsi="Calibri" w:cs="Calibri"/>
          <w:b/>
          <w:bCs/>
          <w:sz w:val="56"/>
          <w:szCs w:val="56"/>
        </w:rPr>
        <w:t xml:space="preserve"> comprendre, paralléliser</w:t>
      </w:r>
      <w:r>
        <w:rPr>
          <w:rFonts w:ascii="Calibri" w:eastAsia="Calibri" w:hAnsi="Calibri" w:cs="Calibri"/>
          <w:b/>
          <w:bCs/>
          <w:sz w:val="56"/>
          <w:szCs w:val="56"/>
        </w:rPr>
        <w:t>, accélérer.</w:t>
      </w:r>
    </w:p>
    <w:p w:rsidR="002B308A" w:rsidRDefault="002B308A">
      <w:pPr>
        <w:spacing w:line="240" w:lineRule="auto"/>
        <w:rPr>
          <w:rFonts w:ascii="Calibri" w:eastAsia="Calibri" w:hAnsi="Calibri" w:cs="Calibri"/>
          <w:b/>
          <w:bCs/>
          <w:sz w:val="14"/>
          <w:szCs w:val="14"/>
          <w:u w:val="single"/>
        </w:rPr>
      </w:pPr>
    </w:p>
    <w:p w:rsidR="002B308A" w:rsidRDefault="00E8247F">
      <w:pPr>
        <w:spacing w:before="60" w:after="60" w:line="240" w:lineRule="auto"/>
        <w:jc w:val="center"/>
        <w:rPr>
          <w:rFonts w:ascii="Calibri" w:eastAsia="Calibri" w:hAnsi="Calibri" w:cs="Calibri"/>
          <w:sz w:val="24"/>
          <w:szCs w:val="24"/>
          <w:highlight w:val="yellow"/>
        </w:rPr>
      </w:pPr>
      <w:r>
        <w:rPr>
          <w:rFonts w:ascii="Calibri" w:eastAsia="Calibri" w:hAnsi="Calibri" w:cs="Calibri"/>
          <w:b/>
          <w:bCs/>
          <w:sz w:val="24"/>
          <w:szCs w:val="24"/>
          <w:u w:val="single"/>
        </w:rPr>
        <w:t>Date : </w:t>
      </w:r>
      <w:r>
        <w:rPr>
          <w:rFonts w:ascii="Calibri" w:eastAsia="Calibri" w:hAnsi="Calibri" w:cs="Calibri"/>
          <w:sz w:val="24"/>
          <w:szCs w:val="24"/>
        </w:rPr>
        <w:t xml:space="preserve"> </w:t>
      </w:r>
      <w:r>
        <w:rPr>
          <w:rFonts w:ascii="Calibri" w:eastAsia="Calibri" w:hAnsi="Calibri" w:cs="Calibri"/>
          <w:sz w:val="24"/>
          <w:szCs w:val="24"/>
          <w:highlight w:val="yellow"/>
        </w:rPr>
        <w:t xml:space="preserve">29, 30 </w:t>
      </w:r>
      <w:proofErr w:type="gramStart"/>
      <w:r>
        <w:rPr>
          <w:rFonts w:ascii="Calibri" w:eastAsia="Calibri" w:hAnsi="Calibri" w:cs="Calibri"/>
          <w:sz w:val="24"/>
          <w:szCs w:val="24"/>
          <w:highlight w:val="yellow"/>
        </w:rPr>
        <w:t>Octobre  -</w:t>
      </w:r>
      <w:proofErr w:type="gramEnd"/>
      <w:r>
        <w:rPr>
          <w:rFonts w:ascii="Calibri" w:eastAsia="Calibri" w:hAnsi="Calibri" w:cs="Calibri"/>
          <w:sz w:val="24"/>
          <w:szCs w:val="24"/>
          <w:highlight w:val="yellow"/>
        </w:rPr>
        <w:t xml:space="preserve"> 02-04 novembre 2026</w:t>
      </w:r>
    </w:p>
    <w:p w:rsidR="002B308A" w:rsidRDefault="00E8247F">
      <w:pPr>
        <w:spacing w:before="60" w:after="60" w:line="240" w:lineRule="auto"/>
        <w:jc w:val="center"/>
        <w:rPr>
          <w:rFonts w:ascii="Calibri" w:eastAsia="Calibri" w:hAnsi="Calibri" w:cs="Calibri"/>
          <w:sz w:val="24"/>
          <w:szCs w:val="24"/>
        </w:rPr>
      </w:pPr>
      <w:r>
        <w:rPr>
          <w:rFonts w:ascii="Calibri" w:eastAsia="Calibri" w:hAnsi="Calibri" w:cs="Calibri"/>
          <w:b/>
          <w:bCs/>
          <w:sz w:val="24"/>
          <w:szCs w:val="24"/>
          <w:u w:val="single"/>
        </w:rPr>
        <w:t>Lieu</w:t>
      </w:r>
      <w:r>
        <w:rPr>
          <w:rFonts w:ascii="Calibri" w:eastAsia="Calibri" w:hAnsi="Calibri" w:cs="Calibri"/>
          <w:b/>
          <w:bCs/>
          <w:sz w:val="24"/>
          <w:szCs w:val="24"/>
        </w:rPr>
        <w:t xml:space="preserve"> : </w:t>
      </w:r>
      <w:r>
        <w:rPr>
          <w:rFonts w:ascii="Calibri" w:eastAsia="Calibri" w:hAnsi="Calibri" w:cs="Calibri"/>
          <w:sz w:val="24"/>
          <w:szCs w:val="24"/>
        </w:rPr>
        <w:t>Siège de l’UVCI</w:t>
      </w:r>
      <w:r>
        <w:rPr>
          <w:rFonts w:ascii="Calibri" w:eastAsia="Calibri" w:hAnsi="Calibri" w:cs="Calibri"/>
          <w:b/>
          <w:bCs/>
          <w:sz w:val="24"/>
          <w:szCs w:val="24"/>
        </w:rPr>
        <w:t xml:space="preserve">, </w:t>
      </w:r>
      <w:r>
        <w:rPr>
          <w:rFonts w:ascii="Calibri" w:eastAsia="Calibri" w:hAnsi="Calibri" w:cs="Calibri"/>
          <w:sz w:val="24"/>
          <w:szCs w:val="24"/>
        </w:rPr>
        <w:t xml:space="preserve">Centre National de Calcul de Côte d’Ivoire et en ligne </w:t>
      </w:r>
    </w:p>
    <w:p w:rsidR="002B308A" w:rsidRDefault="002B308A">
      <w:pPr>
        <w:spacing w:before="60" w:after="60" w:line="240" w:lineRule="auto"/>
        <w:rPr>
          <w:rFonts w:ascii="Calibri" w:eastAsia="Calibri" w:hAnsi="Calibri" w:cs="Calibri"/>
          <w:sz w:val="16"/>
          <w:szCs w:val="16"/>
        </w:rPr>
      </w:pPr>
    </w:p>
    <w:p w:rsidR="002B308A" w:rsidRDefault="00E8247F">
      <w:pPr>
        <w:spacing w:before="60" w:after="60" w:line="240" w:lineRule="auto"/>
        <w:jc w:val="both"/>
        <w:rPr>
          <w:rFonts w:ascii="Calibri" w:eastAsia="Calibri" w:hAnsi="Calibri" w:cs="Calibri"/>
          <w:sz w:val="24"/>
          <w:szCs w:val="24"/>
        </w:rPr>
      </w:pPr>
      <w:r>
        <w:rPr>
          <w:rFonts w:ascii="Calibri" w:eastAsia="Calibri" w:hAnsi="Calibri" w:cs="Calibri"/>
          <w:b/>
          <w:bCs/>
          <w:sz w:val="24"/>
          <w:szCs w:val="24"/>
          <w:u w:val="single"/>
        </w:rPr>
        <w:t>Public cible :</w:t>
      </w:r>
      <w:r>
        <w:rPr>
          <w:rFonts w:ascii="Calibri" w:eastAsia="Calibri" w:hAnsi="Calibri" w:cs="Calibri"/>
          <w:sz w:val="24"/>
          <w:szCs w:val="24"/>
        </w:rPr>
        <w:t xml:space="preserve"> Étudiants inscrits en Master professionnel HPC-IA, Étudiants en Master, Doctorants, Enseignants-Chercheurs, Chercheurs et Professionnels impliqués dans le traitement de données massives.</w:t>
      </w:r>
    </w:p>
    <w:p w:rsidR="002B308A" w:rsidRDefault="002B308A">
      <w:pPr>
        <w:spacing w:before="60" w:after="60" w:line="240" w:lineRule="auto"/>
        <w:jc w:val="both"/>
        <w:rPr>
          <w:rFonts w:ascii="Calibri" w:eastAsia="Calibri" w:hAnsi="Calibri" w:cs="Calibri"/>
          <w:sz w:val="24"/>
          <w:szCs w:val="24"/>
        </w:rPr>
      </w:pPr>
    </w:p>
    <w:p w:rsidR="002B308A" w:rsidRDefault="00E8247F">
      <w:pPr>
        <w:shd w:val="clear" w:color="auto" w:fill="DEEBF6"/>
        <w:spacing w:before="60" w:after="60" w:line="240" w:lineRule="auto"/>
        <w:jc w:val="center"/>
        <w:rPr>
          <w:rFonts w:ascii="Calibri" w:eastAsia="Calibri" w:hAnsi="Calibri" w:cs="Calibri"/>
          <w:b/>
          <w:bCs/>
          <w:i/>
          <w:iCs/>
          <w:color w:val="0F1115"/>
          <w:sz w:val="24"/>
          <w:szCs w:val="24"/>
        </w:rPr>
      </w:pPr>
      <w:r>
        <w:rPr>
          <w:rFonts w:ascii="Calibri" w:eastAsia="Calibri" w:hAnsi="Calibri" w:cs="Calibri"/>
          <w:b/>
          <w:bCs/>
          <w:i/>
          <w:iCs/>
          <w:color w:val="0F1115"/>
          <w:sz w:val="24"/>
          <w:szCs w:val="24"/>
        </w:rPr>
        <w:t>Acquérir les fondamentaux du calcul parallèle pour exploiter la puissance des GPU.</w:t>
      </w:r>
    </w:p>
    <w:p w:rsidR="002B308A" w:rsidRDefault="00E8247F">
      <w:pPr>
        <w:shd w:val="clear" w:color="auto" w:fill="DEEBF6"/>
        <w:spacing w:before="60" w:after="60" w:line="240" w:lineRule="auto"/>
        <w:jc w:val="center"/>
        <w:rPr>
          <w:rFonts w:ascii="Calibri" w:eastAsia="Calibri" w:hAnsi="Calibri" w:cs="Calibri"/>
          <w:b/>
          <w:bCs/>
          <w:color w:val="EE0000"/>
          <w:sz w:val="28"/>
          <w:szCs w:val="28"/>
        </w:rPr>
      </w:pPr>
      <w:r>
        <w:rPr>
          <w:rFonts w:ascii="Calibri" w:eastAsia="Calibri" w:hAnsi="Calibri" w:cs="Calibri"/>
          <w:b/>
          <w:bCs/>
          <w:color w:val="EE0000"/>
          <w:sz w:val="28"/>
          <w:szCs w:val="28"/>
        </w:rPr>
        <w:t>Nombre de places limité !!!</w:t>
      </w:r>
    </w:p>
    <w:p w:rsidR="002B308A" w:rsidRDefault="00E8247F">
      <w:pPr>
        <w:shd w:val="clear" w:color="auto" w:fill="FFFFFF"/>
        <w:spacing w:before="60" w:after="60" w:line="240" w:lineRule="auto"/>
        <w:jc w:val="center"/>
        <w:rPr>
          <w:rFonts w:ascii="Calibri" w:eastAsia="Calibri" w:hAnsi="Calibri" w:cs="Calibri"/>
          <w:color w:val="0F1115"/>
          <w:sz w:val="24"/>
          <w:szCs w:val="24"/>
        </w:rPr>
      </w:pPr>
      <w:r>
        <w:rPr>
          <w:rFonts w:ascii="Calibri" w:eastAsia="Calibri" w:hAnsi="Calibri" w:cs="Calibri"/>
          <w:color w:val="0F1115"/>
          <w:sz w:val="24"/>
          <w:szCs w:val="24"/>
        </w:rPr>
        <w:t xml:space="preserve">Inscription </w:t>
      </w:r>
      <w:r>
        <w:rPr>
          <w:rFonts w:ascii="Calibri" w:eastAsia="Calibri" w:hAnsi="Calibri" w:cs="Calibri"/>
          <w:b/>
          <w:bCs/>
          <w:color w:val="0F1115"/>
          <w:sz w:val="24"/>
          <w:szCs w:val="24"/>
        </w:rPr>
        <w:t>:</w:t>
      </w:r>
      <w:r>
        <w:rPr>
          <w:rFonts w:ascii="Calibri" w:eastAsia="Calibri" w:hAnsi="Calibri" w:cs="Calibri"/>
          <w:color w:val="0F1115"/>
          <w:sz w:val="24"/>
          <w:szCs w:val="24"/>
        </w:rPr>
        <w:t> </w:t>
      </w:r>
      <w:hyperlink r:id="rId7" w:history="1">
        <w:r w:rsidR="00E85F71" w:rsidRPr="006B24D4">
          <w:rPr>
            <w:rStyle w:val="Lienhypertexte"/>
            <w:rFonts w:ascii="Calibri" w:eastAsia="Calibri" w:hAnsi="Calibri" w:cs="Calibri"/>
            <w:b/>
            <w:bCs/>
            <w:sz w:val="24"/>
            <w:szCs w:val="24"/>
          </w:rPr>
          <w:t>https://scolarite.uvci.online/main/public/paiement_seminaire</w:t>
        </w:r>
      </w:hyperlink>
    </w:p>
    <w:p w:rsidR="002B308A" w:rsidRDefault="00E8247F">
      <w:pPr>
        <w:spacing w:before="120" w:after="120" w:line="259" w:lineRule="auto"/>
        <w:jc w:val="center"/>
        <w:rPr>
          <w:rFonts w:ascii="Calibri" w:eastAsia="Calibri" w:hAnsi="Calibri" w:cs="Calibri"/>
          <w:b/>
          <w:bCs/>
          <w:sz w:val="56"/>
          <w:szCs w:val="56"/>
        </w:rPr>
      </w:pPr>
      <w:r>
        <w:rPr>
          <w:rFonts w:ascii="Calibri" w:eastAsia="Calibri" w:hAnsi="Calibri" w:cs="Calibri"/>
          <w:b/>
          <w:bCs/>
          <w:sz w:val="56"/>
          <w:szCs w:val="56"/>
        </w:rPr>
        <w:t>Termes de référence</w:t>
      </w:r>
    </w:p>
    <w:p w:rsidR="002B308A" w:rsidRDefault="00E8247F">
      <w:pPr>
        <w:spacing w:before="120" w:after="120" w:line="259" w:lineRule="auto"/>
        <w:jc w:val="right"/>
        <w:rPr>
          <w:rFonts w:ascii="Calibri" w:eastAsia="Calibri" w:hAnsi="Calibri" w:cs="Calibri"/>
          <w:b/>
          <w:bCs/>
          <w:sz w:val="24"/>
          <w:szCs w:val="24"/>
        </w:rPr>
      </w:pPr>
      <w:r>
        <w:rPr>
          <w:rFonts w:ascii="Calibri" w:eastAsia="Calibri" w:hAnsi="Calibri" w:cs="Calibri"/>
          <w:b/>
          <w:bCs/>
          <w:sz w:val="24"/>
          <w:szCs w:val="24"/>
        </w:rPr>
        <w:t>Master HPC-IA</w:t>
      </w:r>
    </w:p>
    <w:p w:rsidR="002B308A" w:rsidRDefault="00E8247F">
      <w:pPr>
        <w:spacing w:before="120" w:after="120" w:line="259" w:lineRule="auto"/>
        <w:jc w:val="right"/>
        <w:rPr>
          <w:rFonts w:ascii="Calibri" w:eastAsia="Calibri" w:hAnsi="Calibri" w:cs="Calibri"/>
          <w:b/>
          <w:bCs/>
          <w:sz w:val="24"/>
          <w:szCs w:val="24"/>
        </w:rPr>
      </w:pPr>
      <w:r>
        <w:rPr>
          <w:rFonts w:ascii="Calibri" w:eastAsia="Calibri" w:hAnsi="Calibri" w:cs="Calibri"/>
          <w:b/>
          <w:bCs/>
          <w:sz w:val="24"/>
          <w:szCs w:val="24"/>
        </w:rPr>
        <w:t xml:space="preserve">@ </w:t>
      </w:r>
      <w:proofErr w:type="spellStart"/>
      <w:r>
        <w:rPr>
          <w:rFonts w:ascii="Calibri" w:eastAsia="Calibri" w:hAnsi="Calibri" w:cs="Calibri"/>
          <w:b/>
          <w:bCs/>
          <w:sz w:val="24"/>
          <w:szCs w:val="24"/>
        </w:rPr>
        <w:t>Ocotbre</w:t>
      </w:r>
      <w:proofErr w:type="spellEnd"/>
      <w:r>
        <w:rPr>
          <w:rFonts w:ascii="Calibri" w:eastAsia="Calibri" w:hAnsi="Calibri" w:cs="Calibri"/>
          <w:b/>
          <w:bCs/>
          <w:sz w:val="24"/>
          <w:szCs w:val="24"/>
        </w:rPr>
        <w:t xml:space="preserve"> 2026</w:t>
      </w:r>
    </w:p>
    <w:p w:rsidR="002B308A" w:rsidRDefault="00E8247F">
      <w:pPr>
        <w:spacing w:after="160" w:line="259" w:lineRule="auto"/>
        <w:rPr>
          <w:rFonts w:ascii="Times New Roman" w:eastAsia="Times New Roman" w:hAnsi="Times New Roman" w:cs="Times New Roman"/>
          <w:sz w:val="24"/>
          <w:szCs w:val="24"/>
        </w:rPr>
      </w:pPr>
      <w:r>
        <w:br w:type="page"/>
      </w: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lastRenderedPageBreak/>
        <w:t>Contexte</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Le développement rapide des technologies de calcul intensif et de haute performance (HPC) transforme profondément les pratiques scientifiques, industrielles et décisionnelles. Aujourd’hui, de nombreux domaines tels que la modélisation climatique, l’ingénie</w:t>
      </w:r>
      <w:r>
        <w:rPr>
          <w:rFonts w:ascii="Calibri" w:eastAsia="Calibri" w:hAnsi="Calibri" w:cs="Calibri"/>
          <w:color w:val="0F1115"/>
          <w:sz w:val="24"/>
          <w:szCs w:val="24"/>
        </w:rPr>
        <w:t>rie, la physique numérique, la biologie computationnelle, l’intelligence artificielle, l’exploration pétrolière, la finance ou encore l’analyse de données massives s’appuient sur des architectures de calcul parallèle pour produire des résultats fiables, ra</w:t>
      </w:r>
      <w:r>
        <w:rPr>
          <w:rFonts w:ascii="Calibri" w:eastAsia="Calibri" w:hAnsi="Calibri" w:cs="Calibri"/>
          <w:color w:val="0F1115"/>
          <w:sz w:val="24"/>
          <w:szCs w:val="24"/>
        </w:rPr>
        <w:t>pides et à grande échelle combinée à des modèles de simulation efficients.</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Dans ce contexte, la maîtrise des outils mathématiques permettant la construction de modèles de simulations efficaces constitue une compétence stratégique pour les chercheurs, ingén</w:t>
      </w:r>
      <w:r>
        <w:rPr>
          <w:rFonts w:ascii="Calibri" w:eastAsia="Calibri" w:hAnsi="Calibri" w:cs="Calibri"/>
          <w:color w:val="0F1115"/>
          <w:sz w:val="24"/>
          <w:szCs w:val="24"/>
        </w:rPr>
        <w:t>ieurs, doctorants et professionnels confrontés à des simulations complexes. Ces outils permettent d’optimiser les temps de calcul et d’améliorer la performance des applications scientifiques et techniques.</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Conscient de ces enjeux, la Côte d’Ivoire s’est do</w:t>
      </w:r>
      <w:r>
        <w:rPr>
          <w:rFonts w:ascii="Calibri" w:eastAsia="Calibri" w:hAnsi="Calibri" w:cs="Calibri"/>
          <w:color w:val="0F1115"/>
          <w:sz w:val="24"/>
          <w:szCs w:val="24"/>
        </w:rPr>
        <w:t>tée d’un Centre National de Calcul de Côte d’Ivoire (CNC-CI), équipé d’un supercalculateur de dernière génération (</w:t>
      </w:r>
      <w:r>
        <w:rPr>
          <w:rFonts w:ascii="Calibri" w:eastAsia="Calibri" w:hAnsi="Calibri" w:cs="Calibri"/>
          <w:b/>
          <w:bCs/>
          <w:color w:val="0F1115"/>
          <w:sz w:val="24"/>
          <w:szCs w:val="24"/>
        </w:rPr>
        <w:t xml:space="preserve">322,56 </w:t>
      </w:r>
      <w:proofErr w:type="spellStart"/>
      <w:r>
        <w:rPr>
          <w:rFonts w:ascii="Calibri" w:eastAsia="Calibri" w:hAnsi="Calibri" w:cs="Calibri"/>
          <w:b/>
          <w:bCs/>
          <w:color w:val="0F1115"/>
          <w:sz w:val="24"/>
          <w:szCs w:val="24"/>
        </w:rPr>
        <w:t>TFlops</w:t>
      </w:r>
      <w:proofErr w:type="spellEnd"/>
      <w:r>
        <w:rPr>
          <w:rFonts w:ascii="Calibri" w:eastAsia="Calibri" w:hAnsi="Calibri" w:cs="Calibri"/>
          <w:b/>
          <w:bCs/>
          <w:color w:val="0F1115"/>
          <w:sz w:val="24"/>
          <w:szCs w:val="24"/>
        </w:rPr>
        <w:t> : 322,56 mille milliards de calcul élémentaire en une seconde, 7200 cœurs, 300 nœuds et 1,6 Po de stockage de données</w:t>
      </w:r>
      <w:r>
        <w:rPr>
          <w:rFonts w:ascii="Calibri" w:eastAsia="Calibri" w:hAnsi="Calibri" w:cs="Calibri"/>
          <w:color w:val="0F1115"/>
          <w:sz w:val="24"/>
          <w:szCs w:val="24"/>
        </w:rPr>
        <w:t>). Cet out</w:t>
      </w:r>
      <w:r>
        <w:rPr>
          <w:rFonts w:ascii="Calibri" w:eastAsia="Calibri" w:hAnsi="Calibri" w:cs="Calibri"/>
          <w:color w:val="0F1115"/>
          <w:sz w:val="24"/>
          <w:szCs w:val="24"/>
        </w:rPr>
        <w:t>il est un moyen communautaire pour la recherche scientifique qui offre aux chercheurs un environnement de calcul leur permettant de mener des travaux dans divers domaines tels que : i) le climat et l’environnement ; ii) l’énergie et la modélisation physiqu</w:t>
      </w:r>
      <w:r>
        <w:rPr>
          <w:rFonts w:ascii="Calibri" w:eastAsia="Calibri" w:hAnsi="Calibri" w:cs="Calibri"/>
          <w:color w:val="0F1115"/>
          <w:sz w:val="24"/>
          <w:szCs w:val="24"/>
        </w:rPr>
        <w:t>e ; iii) l’agriculture numérique et les sciences du vivant ; iv) l’intelligence artificielle à grande échelle ; v) le traitement massif de données satellitaires.</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Le Ministre de l’Enseignement Supérieur et de la Recherche Scientifique, le Professeur Adama D</w:t>
      </w:r>
      <w:r>
        <w:rPr>
          <w:rFonts w:ascii="Calibri" w:eastAsia="Calibri" w:hAnsi="Calibri" w:cs="Calibri"/>
          <w:color w:val="0F1115"/>
          <w:sz w:val="24"/>
          <w:szCs w:val="24"/>
        </w:rPr>
        <w:t>iawara, a donc engagé le sous-secteur de l’enseignement supérieur et de la recherche dans l’accompagnement des transformations structurelles et de l’industrialisation du pays au travers de : i) la redynamisation du système national de recherche et d’innova</w:t>
      </w:r>
      <w:r>
        <w:rPr>
          <w:rFonts w:ascii="Calibri" w:eastAsia="Calibri" w:hAnsi="Calibri" w:cs="Calibri"/>
          <w:color w:val="0F1115"/>
          <w:sz w:val="24"/>
          <w:szCs w:val="24"/>
        </w:rPr>
        <w:t>tion ; ii) le développement d’une recherche scientifique et d’une innovation technologique fortes, compétitives et capables, alignées sur les Programmes Nationaux de Développement (PND) et les Programmes Nationaux de Recherche (PNR) prioritaires.</w:t>
      </w:r>
    </w:p>
    <w:p w:rsidR="002B308A" w:rsidRDefault="00E8247F">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L’exploit</w:t>
      </w:r>
      <w:r>
        <w:rPr>
          <w:rFonts w:ascii="Calibri" w:eastAsia="Calibri" w:hAnsi="Calibri" w:cs="Calibri"/>
          <w:color w:val="0F1115"/>
          <w:sz w:val="24"/>
          <w:szCs w:val="24"/>
          <w:highlight w:val="white"/>
        </w:rPr>
        <w:t>ation de ce calculateur nécessite toutefois en plus d’une maîtrise rigoureuse des environnements des supercalculateurs. Ce séminaire vise à offrir une formation solide et pratique aux concepts fondamentaux du HPC et à permettre aux participants de se famil</w:t>
      </w:r>
      <w:r>
        <w:rPr>
          <w:rFonts w:ascii="Calibri" w:eastAsia="Calibri" w:hAnsi="Calibri" w:cs="Calibri"/>
          <w:color w:val="0F1115"/>
          <w:sz w:val="24"/>
          <w:szCs w:val="24"/>
          <w:highlight w:val="white"/>
        </w:rPr>
        <w:t xml:space="preserve">iariser aux méthodes de résolution des problèmes de grande taille, aux principes du parallélisme, </w:t>
      </w:r>
      <w:proofErr w:type="gramStart"/>
      <w:r>
        <w:rPr>
          <w:rFonts w:ascii="Calibri" w:eastAsia="Calibri" w:hAnsi="Calibri" w:cs="Calibri"/>
          <w:color w:val="0F1115"/>
          <w:sz w:val="24"/>
          <w:szCs w:val="24"/>
          <w:highlight w:val="white"/>
        </w:rPr>
        <w:t>aux  techniques</w:t>
      </w:r>
      <w:proofErr w:type="gramEnd"/>
      <w:r>
        <w:rPr>
          <w:rFonts w:ascii="Calibri" w:eastAsia="Calibri" w:hAnsi="Calibri" w:cs="Calibri"/>
          <w:color w:val="0F1115"/>
          <w:sz w:val="24"/>
          <w:szCs w:val="24"/>
          <w:highlight w:val="white"/>
        </w:rPr>
        <w:t xml:space="preserve"> d’optimisation de performance, ainsi qu’aux bonnes pratiques de développement sur des architectures multi-cœurs et multi-nœuds.</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En s’inscrivan</w:t>
      </w:r>
      <w:r>
        <w:rPr>
          <w:rFonts w:ascii="Calibri" w:eastAsia="Calibri" w:hAnsi="Calibri" w:cs="Calibri"/>
          <w:color w:val="0F1115"/>
          <w:sz w:val="24"/>
          <w:szCs w:val="24"/>
        </w:rPr>
        <w:t>t dans les dynamiques actuelles de transformation numérique et d’innovation scientifique, ce séminaire répond au besoin croissant de renforcer les capacités locales en calcul intensif, de soutenir la compétitivité des laboratoires et institutions, et de pr</w:t>
      </w:r>
      <w:r>
        <w:rPr>
          <w:rFonts w:ascii="Calibri" w:eastAsia="Calibri" w:hAnsi="Calibri" w:cs="Calibri"/>
          <w:color w:val="0F1115"/>
          <w:sz w:val="24"/>
          <w:szCs w:val="24"/>
        </w:rPr>
        <w:t>éparer une nouvelle génération de spécialistes capables de tirer parti des infrastructures de calcul avancées.</w:t>
      </w:r>
    </w:p>
    <w:p w:rsidR="002B308A" w:rsidRDefault="00E8247F">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lastRenderedPageBreak/>
        <w:t>Dans le cadre du projet AMRUGE-CI 2, notamment son volet Formation RNER-CC, l’Université Virtuelle de Côte d’Ivoire (UVCI) s’engage activement da</w:t>
      </w:r>
      <w:r>
        <w:rPr>
          <w:rFonts w:ascii="Calibri" w:eastAsia="Calibri" w:hAnsi="Calibri" w:cs="Calibri"/>
          <w:color w:val="0F1115"/>
          <w:sz w:val="24"/>
          <w:szCs w:val="24"/>
          <w:highlight w:val="white"/>
        </w:rPr>
        <w:t>ns le renforcement des capacités nationales en calcul scientifique et en intelligence artificielle. En partenariat avec l’IRD et le CNC-CI, l’UVCI organise ainsi le présent séminaire, temps de regroupement en présentiel du master professionnel HPC-</w:t>
      </w:r>
      <w:proofErr w:type="gramStart"/>
      <w:r>
        <w:rPr>
          <w:rFonts w:ascii="Calibri" w:eastAsia="Calibri" w:hAnsi="Calibri" w:cs="Calibri"/>
          <w:color w:val="0F1115"/>
          <w:sz w:val="24"/>
          <w:szCs w:val="24"/>
          <w:highlight w:val="white"/>
        </w:rPr>
        <w:t>IA  qui</w:t>
      </w:r>
      <w:proofErr w:type="gramEnd"/>
      <w:r>
        <w:rPr>
          <w:rFonts w:ascii="Calibri" w:eastAsia="Calibri" w:hAnsi="Calibri" w:cs="Calibri"/>
          <w:color w:val="0F1115"/>
          <w:sz w:val="24"/>
          <w:szCs w:val="24"/>
          <w:highlight w:val="white"/>
        </w:rPr>
        <w:t xml:space="preserve"> </w:t>
      </w:r>
      <w:r>
        <w:rPr>
          <w:rFonts w:ascii="Calibri" w:eastAsia="Calibri" w:hAnsi="Calibri" w:cs="Calibri"/>
          <w:color w:val="0F1115"/>
          <w:sz w:val="24"/>
          <w:szCs w:val="24"/>
          <w:highlight w:val="white"/>
        </w:rPr>
        <w:t>vise à renforcer les capacités des auditeurs dans la maîtrise des outils permettant un passage de la modélisation théorique à une implémentation réussie sur les architectures modernes multi-</w:t>
      </w:r>
      <w:proofErr w:type="spellStart"/>
      <w:r>
        <w:rPr>
          <w:rFonts w:ascii="Calibri" w:eastAsia="Calibri" w:hAnsi="Calibri" w:cs="Calibri"/>
          <w:color w:val="0F1115"/>
          <w:sz w:val="24"/>
          <w:szCs w:val="24"/>
          <w:highlight w:val="white"/>
        </w:rPr>
        <w:t>noeuds</w:t>
      </w:r>
      <w:proofErr w:type="spellEnd"/>
      <w:r>
        <w:rPr>
          <w:rFonts w:ascii="Calibri" w:eastAsia="Calibri" w:hAnsi="Calibri" w:cs="Calibri"/>
          <w:color w:val="0F1115"/>
          <w:sz w:val="24"/>
          <w:szCs w:val="24"/>
          <w:highlight w:val="white"/>
        </w:rPr>
        <w:t xml:space="preserve"> et </w:t>
      </w:r>
      <w:proofErr w:type="spellStart"/>
      <w:r>
        <w:rPr>
          <w:rFonts w:ascii="Calibri" w:eastAsia="Calibri" w:hAnsi="Calibri" w:cs="Calibri"/>
          <w:color w:val="0F1115"/>
          <w:sz w:val="24"/>
          <w:szCs w:val="24"/>
          <w:highlight w:val="white"/>
        </w:rPr>
        <w:t>multi-processeurs</w:t>
      </w:r>
      <w:proofErr w:type="spellEnd"/>
      <w:r>
        <w:rPr>
          <w:rFonts w:ascii="Calibri" w:eastAsia="Calibri" w:hAnsi="Calibri" w:cs="Calibri"/>
          <w:color w:val="0F1115"/>
          <w:sz w:val="24"/>
          <w:szCs w:val="24"/>
          <w:highlight w:val="white"/>
        </w:rPr>
        <w:t>. Cette initiative s’inscrit dans la co</w:t>
      </w:r>
      <w:r>
        <w:rPr>
          <w:rFonts w:ascii="Calibri" w:eastAsia="Calibri" w:hAnsi="Calibri" w:cs="Calibri"/>
          <w:color w:val="0F1115"/>
          <w:sz w:val="24"/>
          <w:szCs w:val="24"/>
          <w:highlight w:val="white"/>
        </w:rPr>
        <w:t>ntinuité des actions visant à doter les chercheurs, doctorants et professionnels des compétences indispensables pour exploiter efficacement le supercalculateur national et conduire des travaux de recherche à fort impact.</w:t>
      </w:r>
    </w:p>
    <w:p w:rsidR="002B308A" w:rsidRDefault="002B308A">
      <w:pPr>
        <w:shd w:val="clear" w:color="auto" w:fill="FFFFFF"/>
        <w:spacing w:before="120" w:after="120" w:line="240" w:lineRule="auto"/>
        <w:jc w:val="both"/>
        <w:rPr>
          <w:rFonts w:ascii="Calibri" w:eastAsia="Calibri" w:hAnsi="Calibri" w:cs="Calibri"/>
          <w:color w:val="0F1115"/>
          <w:sz w:val="24"/>
          <w:szCs w:val="24"/>
        </w:rPr>
      </w:pP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Objectifs</w:t>
      </w:r>
    </w:p>
    <w:p w:rsidR="002B308A" w:rsidRDefault="00E8247F">
      <w:pPr>
        <w:pStyle w:val="Titre2"/>
        <w:numPr>
          <w:ilvl w:val="1"/>
          <w:numId w:val="12"/>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Objectif général</w:t>
      </w:r>
    </w:p>
    <w:p w:rsidR="002B308A" w:rsidRDefault="00E8247F">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 xml:space="preserve">Ce </w:t>
      </w:r>
      <w:proofErr w:type="gramStart"/>
      <w:r>
        <w:rPr>
          <w:rFonts w:ascii="Calibri" w:eastAsia="Calibri" w:hAnsi="Calibri" w:cs="Calibri"/>
          <w:color w:val="0F1115"/>
          <w:sz w:val="24"/>
          <w:szCs w:val="24"/>
          <w:highlight w:val="white"/>
        </w:rPr>
        <w:t>séminaire  de</w:t>
      </w:r>
      <w:proofErr w:type="gramEnd"/>
      <w:r>
        <w:rPr>
          <w:rFonts w:ascii="Calibri" w:eastAsia="Calibri" w:hAnsi="Calibri" w:cs="Calibri"/>
          <w:color w:val="0F1115"/>
          <w:sz w:val="24"/>
          <w:szCs w:val="24"/>
          <w:highlight w:val="white"/>
        </w:rPr>
        <w:t xml:space="preserve"> regroupement du master HPC-IA « De la Descente de Gradient au GPU — comprendre, paralléliser, accélérer » vise à doter l'ensemble des auditeurs d’une compréhension intégrée des principes d’optimisation numérique, de simulation scientifique</w:t>
      </w:r>
      <w:r>
        <w:rPr>
          <w:rFonts w:ascii="Calibri" w:eastAsia="Calibri" w:hAnsi="Calibri" w:cs="Calibri"/>
          <w:color w:val="0F1115"/>
          <w:sz w:val="24"/>
          <w:szCs w:val="24"/>
          <w:highlight w:val="white"/>
        </w:rPr>
        <w:t>, de programmation parallèle et de calcul accéléré par GPU, en mettant en évidence leurs interactions et leur rôle dans les applications modernes de l’intelligence artificielle. À travers une progression allant des fondements mathématiques de l’optimisatio</w:t>
      </w:r>
      <w:r>
        <w:rPr>
          <w:rFonts w:ascii="Calibri" w:eastAsia="Calibri" w:hAnsi="Calibri" w:cs="Calibri"/>
          <w:color w:val="0F1115"/>
          <w:sz w:val="24"/>
          <w:szCs w:val="24"/>
          <w:highlight w:val="white"/>
        </w:rPr>
        <w:t>n jusqu’à l’implémentation d’algorithmes sur architectures GPU, le séminaire a pour ambition de permettre de comprendre le passage d’un algorithme séquentiel à une réalisation parallèle et accélérée, tout en développant leur capacité à analyser les perform</w:t>
      </w:r>
      <w:r>
        <w:rPr>
          <w:rFonts w:ascii="Calibri" w:eastAsia="Calibri" w:hAnsi="Calibri" w:cs="Calibri"/>
          <w:color w:val="0F1115"/>
          <w:sz w:val="24"/>
          <w:szCs w:val="24"/>
          <w:highlight w:val="white"/>
        </w:rPr>
        <w:t>ances des solutions de calcul mises en œuvre.</w:t>
      </w:r>
    </w:p>
    <w:p w:rsidR="002B308A" w:rsidRDefault="002B308A">
      <w:pPr>
        <w:shd w:val="clear" w:color="auto" w:fill="FFFFFF"/>
        <w:spacing w:before="120" w:after="120" w:line="240" w:lineRule="auto"/>
        <w:jc w:val="both"/>
        <w:rPr>
          <w:rFonts w:ascii="Calibri" w:eastAsia="Calibri" w:hAnsi="Calibri" w:cs="Calibri"/>
          <w:color w:val="0F1115"/>
          <w:sz w:val="24"/>
          <w:szCs w:val="24"/>
          <w:highlight w:val="yellow"/>
        </w:rPr>
      </w:pPr>
    </w:p>
    <w:p w:rsidR="002B308A" w:rsidRDefault="00E8247F">
      <w:pPr>
        <w:pStyle w:val="Titre2"/>
        <w:numPr>
          <w:ilvl w:val="1"/>
          <w:numId w:val="12"/>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Objectifs spécifiques</w:t>
      </w:r>
    </w:p>
    <w:p w:rsidR="002B308A" w:rsidRDefault="00E8247F">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À l’issue du séminaire, les participants seront capables de :</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Comprendre les fondements de l’optimisation numérique.</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Comprendre et mettre en œuvre les méthodes numériques pour les problèm</w:t>
      </w:r>
      <w:r>
        <w:rPr>
          <w:rFonts w:ascii="Calibri" w:eastAsia="Calibri" w:hAnsi="Calibri" w:cs="Calibri"/>
          <w:color w:val="0F1115"/>
          <w:sz w:val="24"/>
          <w:szCs w:val="24"/>
          <w:highlight w:val="white"/>
        </w:rPr>
        <w:t>es de grande taille et analyser les enjeux de volume de données, de coût de calcul et de passage à l’échelle.</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Maîtriser les principes du calcul parallèle CPU avec OpenMP et MPI</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Comprendre et exploiter le calcul GPU avec CUDA.</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Analyser et optimiser les perf</w:t>
      </w:r>
      <w:r>
        <w:rPr>
          <w:rFonts w:ascii="Calibri" w:eastAsia="Calibri" w:hAnsi="Calibri" w:cs="Calibri"/>
          <w:color w:val="0F1115"/>
          <w:sz w:val="24"/>
          <w:szCs w:val="24"/>
          <w:highlight w:val="white"/>
        </w:rPr>
        <w:t>ormances d’une chaîne de calcul HPC-IA</w:t>
      </w:r>
    </w:p>
    <w:p w:rsidR="002B308A" w:rsidRDefault="00E8247F">
      <w:pPr>
        <w:numPr>
          <w:ilvl w:val="0"/>
          <w:numId w:val="9"/>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lastRenderedPageBreak/>
        <w:t>Évaluer les performances à l’aide du temps d’exécution, du speed-up et de l’analyse des facteurs limitants, tout en reliant optimisation numérique, parallélisme CPU/GPU et entraînement des modèles modernes de Deep Lea</w:t>
      </w:r>
      <w:r>
        <w:rPr>
          <w:rFonts w:ascii="Calibri" w:eastAsia="Calibri" w:hAnsi="Calibri" w:cs="Calibri"/>
          <w:color w:val="0F1115"/>
          <w:sz w:val="24"/>
          <w:szCs w:val="24"/>
          <w:highlight w:val="white"/>
        </w:rPr>
        <w:t>rning.</w:t>
      </w: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highlight w:val="white"/>
        </w:rPr>
      </w:pPr>
      <w:r>
        <w:rPr>
          <w:rFonts w:ascii="Calibri" w:eastAsia="Calibri" w:hAnsi="Calibri" w:cs="Calibri"/>
          <w:b/>
          <w:bCs/>
          <w:color w:val="2E75B5"/>
          <w:sz w:val="28"/>
          <w:szCs w:val="28"/>
          <w:highlight w:val="white"/>
        </w:rPr>
        <w:t>Résultats attendus</w:t>
      </w:r>
    </w:p>
    <w:p w:rsidR="002B308A" w:rsidRDefault="00E8247F">
      <w:pPr>
        <w:shd w:val="clear" w:color="auto" w:fill="FFFFFF"/>
        <w:spacing w:before="120" w:after="120" w:line="240" w:lineRule="auto"/>
        <w:ind w:left="360"/>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A l’issue du séminaire, les auditeurs seront capables de :</w:t>
      </w:r>
    </w:p>
    <w:p w:rsidR="002B308A" w:rsidRDefault="00E8247F">
      <w:pPr>
        <w:numPr>
          <w:ilvl w:val="0"/>
          <w:numId w:val="8"/>
        </w:numPr>
        <w:shd w:val="clear" w:color="auto" w:fill="FFFFFF"/>
        <w:spacing w:before="120"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expliquer</w:t>
      </w:r>
      <w:proofErr w:type="gramEnd"/>
      <w:r>
        <w:rPr>
          <w:rFonts w:ascii="Calibri" w:eastAsia="Calibri" w:hAnsi="Calibri" w:cs="Calibri"/>
          <w:color w:val="0F1115"/>
          <w:sz w:val="24"/>
          <w:szCs w:val="24"/>
          <w:highlight w:val="white"/>
        </w:rPr>
        <w:t xml:space="preserve"> le principe de la descente de gradient et de plusieurs méthodes d’optimisation numérique, ainsi que leurs conditions et comportements de convergence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identifier</w:t>
      </w:r>
      <w:proofErr w:type="gramEnd"/>
      <w:r>
        <w:rPr>
          <w:rFonts w:ascii="Calibri" w:eastAsia="Calibri" w:hAnsi="Calibri" w:cs="Calibri"/>
          <w:color w:val="0F1115"/>
          <w:sz w:val="24"/>
          <w:szCs w:val="24"/>
          <w:highlight w:val="white"/>
        </w:rPr>
        <w:t xml:space="preserve"> le caractère itératif commun à certaines méthodes d’optimisation et de résolution numérique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analyser</w:t>
      </w:r>
      <w:proofErr w:type="gramEnd"/>
      <w:r>
        <w:rPr>
          <w:rFonts w:ascii="Calibri" w:eastAsia="Calibri" w:hAnsi="Calibri" w:cs="Calibri"/>
          <w:color w:val="0F1115"/>
          <w:sz w:val="24"/>
          <w:szCs w:val="24"/>
          <w:highlight w:val="white"/>
        </w:rPr>
        <w:t xml:space="preserve"> un problème de calcul scientifique au regard de ses besoins en puissance de calcul et en parallélisme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distinguer</w:t>
      </w:r>
      <w:proofErr w:type="gramEnd"/>
      <w:r>
        <w:rPr>
          <w:rFonts w:ascii="Calibri" w:eastAsia="Calibri" w:hAnsi="Calibri" w:cs="Calibri"/>
          <w:color w:val="0F1115"/>
          <w:sz w:val="24"/>
          <w:szCs w:val="24"/>
          <w:highlight w:val="white"/>
        </w:rPr>
        <w:t xml:space="preserve"> les modèles de programmatio</w:t>
      </w:r>
      <w:r>
        <w:rPr>
          <w:rFonts w:ascii="Calibri" w:eastAsia="Calibri" w:hAnsi="Calibri" w:cs="Calibri"/>
          <w:color w:val="0F1115"/>
          <w:sz w:val="24"/>
          <w:szCs w:val="24"/>
          <w:highlight w:val="white"/>
        </w:rPr>
        <w:t>n à mémoire partagée, à mémoire distribuée et massivement parallèles sur GPU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développer</w:t>
      </w:r>
      <w:proofErr w:type="gramEnd"/>
      <w:r>
        <w:rPr>
          <w:rFonts w:ascii="Calibri" w:eastAsia="Calibri" w:hAnsi="Calibri" w:cs="Calibri"/>
          <w:color w:val="0F1115"/>
          <w:sz w:val="24"/>
          <w:szCs w:val="24"/>
          <w:highlight w:val="white"/>
        </w:rPr>
        <w:t xml:space="preserve"> des programmes élémentaires exploitant OpenMP, MPI et CUDA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transformer</w:t>
      </w:r>
      <w:proofErr w:type="gramEnd"/>
      <w:r>
        <w:rPr>
          <w:rFonts w:ascii="Calibri" w:eastAsia="Calibri" w:hAnsi="Calibri" w:cs="Calibri"/>
          <w:color w:val="0F1115"/>
          <w:sz w:val="24"/>
          <w:szCs w:val="24"/>
          <w:highlight w:val="white"/>
        </w:rPr>
        <w:t xml:space="preserve"> un algorithme séquentiel en une implémentation parallèle adaptée à l’architecture cible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com</w:t>
      </w:r>
      <w:r>
        <w:rPr>
          <w:rFonts w:ascii="Calibri" w:eastAsia="Calibri" w:hAnsi="Calibri" w:cs="Calibri"/>
          <w:color w:val="0F1115"/>
          <w:sz w:val="24"/>
          <w:szCs w:val="24"/>
          <w:highlight w:val="white"/>
        </w:rPr>
        <w:t>parer</w:t>
      </w:r>
      <w:proofErr w:type="gramEnd"/>
      <w:r>
        <w:rPr>
          <w:rFonts w:ascii="Calibri" w:eastAsia="Calibri" w:hAnsi="Calibri" w:cs="Calibri"/>
          <w:color w:val="0F1115"/>
          <w:sz w:val="24"/>
          <w:szCs w:val="24"/>
          <w:highlight w:val="white"/>
        </w:rPr>
        <w:t xml:space="preserve"> une implémentation CPU et une implémentation GPU à partir de mesures expérimentales de performance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interpréter</w:t>
      </w:r>
      <w:proofErr w:type="gramEnd"/>
      <w:r>
        <w:rPr>
          <w:rFonts w:ascii="Calibri" w:eastAsia="Calibri" w:hAnsi="Calibri" w:cs="Calibri"/>
          <w:color w:val="0F1115"/>
          <w:sz w:val="24"/>
          <w:szCs w:val="24"/>
          <w:highlight w:val="white"/>
        </w:rPr>
        <w:t xml:space="preserve"> un gain d’accélération et identifier les principales sources de limitation des performances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expliquer</w:t>
      </w:r>
      <w:proofErr w:type="gramEnd"/>
      <w:r>
        <w:rPr>
          <w:rFonts w:ascii="Calibri" w:eastAsia="Calibri" w:hAnsi="Calibri" w:cs="Calibri"/>
          <w:color w:val="0F1115"/>
          <w:sz w:val="24"/>
          <w:szCs w:val="24"/>
          <w:highlight w:val="white"/>
        </w:rPr>
        <w:t xml:space="preserve"> le rôle de la descente de gradient et de la rétropropagation dans l’entraînement des réseaux de neurones ;</w:t>
      </w:r>
    </w:p>
    <w:p w:rsidR="002B308A" w:rsidRDefault="00E8247F">
      <w:pPr>
        <w:numPr>
          <w:ilvl w:val="0"/>
          <w:numId w:val="8"/>
        </w:numPr>
        <w:shd w:val="clear" w:color="auto" w:fill="FFFFFF"/>
        <w:spacing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établir</w:t>
      </w:r>
      <w:proofErr w:type="gramEnd"/>
      <w:r>
        <w:rPr>
          <w:rFonts w:ascii="Calibri" w:eastAsia="Calibri" w:hAnsi="Calibri" w:cs="Calibri"/>
          <w:color w:val="0F1115"/>
          <w:sz w:val="24"/>
          <w:szCs w:val="24"/>
          <w:highlight w:val="white"/>
        </w:rPr>
        <w:t xml:space="preserve"> le lien entre optimisation numérique → résolution scientifique → parallélisme → GPU → entraînement des modèles d’IA ;</w:t>
      </w:r>
    </w:p>
    <w:p w:rsidR="002B308A" w:rsidRDefault="00E8247F">
      <w:pPr>
        <w:numPr>
          <w:ilvl w:val="0"/>
          <w:numId w:val="8"/>
        </w:numPr>
        <w:shd w:val="clear" w:color="auto" w:fill="FFFFFF"/>
        <w:spacing w:after="120" w:line="240" w:lineRule="auto"/>
        <w:jc w:val="both"/>
        <w:rPr>
          <w:rFonts w:ascii="Calibri" w:eastAsia="Calibri" w:hAnsi="Calibri" w:cs="Calibri"/>
          <w:color w:val="0F1115"/>
          <w:sz w:val="24"/>
          <w:szCs w:val="24"/>
          <w:highlight w:val="white"/>
        </w:rPr>
      </w:pPr>
      <w:proofErr w:type="gramStart"/>
      <w:r>
        <w:rPr>
          <w:rFonts w:ascii="Calibri" w:eastAsia="Calibri" w:hAnsi="Calibri" w:cs="Calibri"/>
          <w:color w:val="0F1115"/>
          <w:sz w:val="24"/>
          <w:szCs w:val="24"/>
          <w:highlight w:val="white"/>
        </w:rPr>
        <w:t>disposer</w:t>
      </w:r>
      <w:proofErr w:type="gramEnd"/>
      <w:r>
        <w:rPr>
          <w:rFonts w:ascii="Calibri" w:eastAsia="Calibri" w:hAnsi="Calibri" w:cs="Calibri"/>
          <w:color w:val="0F1115"/>
          <w:sz w:val="24"/>
          <w:szCs w:val="24"/>
          <w:highlight w:val="white"/>
        </w:rPr>
        <w:t xml:space="preserve"> d’un</w:t>
      </w:r>
      <w:r>
        <w:rPr>
          <w:rFonts w:ascii="Calibri" w:eastAsia="Calibri" w:hAnsi="Calibri" w:cs="Calibri"/>
          <w:color w:val="0F1115"/>
          <w:sz w:val="24"/>
          <w:szCs w:val="24"/>
          <w:highlight w:val="white"/>
        </w:rPr>
        <w:t xml:space="preserve"> socle méthodologique leur permettant d’aborder des problématiques plus avancées de calcul haute performance et d’intelligence artificielle.</w:t>
      </w: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Démarche pédagogique</w:t>
      </w:r>
    </w:p>
    <w:p w:rsidR="002B308A" w:rsidRDefault="00E8247F">
      <w:pPr>
        <w:shd w:val="clear" w:color="auto" w:fill="FFFFFF"/>
        <w:spacing w:before="120" w:after="120" w:line="240" w:lineRule="auto"/>
        <w:jc w:val="both"/>
        <w:rPr>
          <w:rFonts w:ascii="Calibri" w:eastAsia="Calibri" w:hAnsi="Calibri" w:cs="Calibri"/>
          <w:b/>
          <w:bCs/>
          <w:sz w:val="28"/>
          <w:szCs w:val="28"/>
        </w:rPr>
      </w:pPr>
      <w:r>
        <w:rPr>
          <w:rFonts w:ascii="Calibri" w:eastAsia="Calibri" w:hAnsi="Calibri" w:cs="Calibri"/>
          <w:color w:val="0F1115"/>
          <w:sz w:val="24"/>
          <w:szCs w:val="24"/>
        </w:rPr>
        <w:t>Le séminaire adoptera une approche pédagogique participative et centrée sur la pratique, combi</w:t>
      </w:r>
      <w:r>
        <w:rPr>
          <w:rFonts w:ascii="Calibri" w:eastAsia="Calibri" w:hAnsi="Calibri" w:cs="Calibri"/>
          <w:color w:val="0F1115"/>
          <w:sz w:val="24"/>
          <w:szCs w:val="24"/>
        </w:rPr>
        <w:t>nant :</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rPr>
      </w:pPr>
      <w:proofErr w:type="gramStart"/>
      <w:r>
        <w:rPr>
          <w:rFonts w:ascii="Calibri" w:eastAsia="Calibri" w:hAnsi="Calibri" w:cs="Calibri"/>
          <w:color w:val="0F1115"/>
          <w:sz w:val="24"/>
          <w:szCs w:val="24"/>
        </w:rPr>
        <w:t>des</w:t>
      </w:r>
      <w:proofErr w:type="gramEnd"/>
      <w:r>
        <w:rPr>
          <w:rFonts w:ascii="Calibri" w:eastAsia="Calibri" w:hAnsi="Calibri" w:cs="Calibri"/>
          <w:color w:val="0F1115"/>
          <w:sz w:val="24"/>
          <w:szCs w:val="24"/>
        </w:rPr>
        <w:t xml:space="preserve"> exposés théoriques sur les outils mathématiques nécessaires à la  mise en œuvre des outils de simulation numériques et de l’intelligence artificielle.</w:t>
      </w:r>
    </w:p>
    <w:p w:rsidR="002B308A" w:rsidRDefault="00E8247F">
      <w:pPr>
        <w:numPr>
          <w:ilvl w:val="0"/>
          <w:numId w:val="6"/>
        </w:numPr>
        <w:shd w:val="clear" w:color="auto" w:fill="FFFFFF"/>
        <w:spacing w:before="120" w:after="120" w:line="240" w:lineRule="auto"/>
        <w:jc w:val="both"/>
        <w:rPr>
          <w:rFonts w:ascii="Noto Sans Symbols" w:eastAsia="Noto Sans Symbols" w:hAnsi="Noto Sans Symbols" w:cs="Noto Sans Symbols"/>
          <w:color w:val="0F1115"/>
          <w:sz w:val="24"/>
          <w:szCs w:val="24"/>
        </w:rPr>
      </w:pPr>
      <w:proofErr w:type="gramStart"/>
      <w:r>
        <w:rPr>
          <w:rFonts w:ascii="Calibri" w:eastAsia="Calibri" w:hAnsi="Calibri" w:cs="Calibri"/>
          <w:color w:val="0F1115"/>
          <w:sz w:val="24"/>
          <w:szCs w:val="24"/>
        </w:rPr>
        <w:t>des</w:t>
      </w:r>
      <w:proofErr w:type="gramEnd"/>
      <w:r>
        <w:rPr>
          <w:rFonts w:ascii="Calibri" w:eastAsia="Calibri" w:hAnsi="Calibri" w:cs="Calibri"/>
          <w:color w:val="0F1115"/>
          <w:sz w:val="24"/>
          <w:szCs w:val="24"/>
        </w:rPr>
        <w:t xml:space="preserve"> conférences et des </w:t>
      </w:r>
      <w:proofErr w:type="spellStart"/>
      <w:r>
        <w:rPr>
          <w:rFonts w:ascii="Calibri" w:eastAsia="Calibri" w:hAnsi="Calibri" w:cs="Calibri"/>
          <w:color w:val="0F1115"/>
          <w:sz w:val="24"/>
          <w:szCs w:val="24"/>
        </w:rPr>
        <w:t>masterclass</w:t>
      </w:r>
      <w:proofErr w:type="spellEnd"/>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rPr>
      </w:pPr>
      <w:proofErr w:type="gramStart"/>
      <w:r>
        <w:rPr>
          <w:rFonts w:ascii="Calibri" w:eastAsia="Calibri" w:hAnsi="Calibri" w:cs="Calibri"/>
          <w:color w:val="0F1115"/>
          <w:sz w:val="24"/>
          <w:szCs w:val="24"/>
        </w:rPr>
        <w:t>des</w:t>
      </w:r>
      <w:proofErr w:type="gramEnd"/>
      <w:r>
        <w:rPr>
          <w:rFonts w:ascii="Calibri" w:eastAsia="Calibri" w:hAnsi="Calibri" w:cs="Calibri"/>
          <w:color w:val="0F1115"/>
          <w:sz w:val="24"/>
          <w:szCs w:val="24"/>
        </w:rPr>
        <w:t xml:space="preserve"> démonstrations pratiques sur l'implémentation des modèl</w:t>
      </w:r>
      <w:r>
        <w:rPr>
          <w:rFonts w:ascii="Calibri" w:eastAsia="Calibri" w:hAnsi="Calibri" w:cs="Calibri"/>
          <w:color w:val="0F1115"/>
          <w:sz w:val="24"/>
          <w:szCs w:val="24"/>
        </w:rPr>
        <w:t>es de simulation numérique.</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rPr>
      </w:pPr>
      <w:proofErr w:type="gramStart"/>
      <w:r>
        <w:rPr>
          <w:rFonts w:ascii="Calibri" w:eastAsia="Calibri" w:hAnsi="Calibri" w:cs="Calibri"/>
          <w:color w:val="0F1115"/>
          <w:sz w:val="24"/>
          <w:szCs w:val="24"/>
        </w:rPr>
        <w:lastRenderedPageBreak/>
        <w:t>des</w:t>
      </w:r>
      <w:proofErr w:type="gramEnd"/>
      <w:r>
        <w:rPr>
          <w:rFonts w:ascii="Calibri" w:eastAsia="Calibri" w:hAnsi="Calibri" w:cs="Calibri"/>
          <w:color w:val="0F1115"/>
          <w:sz w:val="24"/>
          <w:szCs w:val="24"/>
        </w:rPr>
        <w:t xml:space="preserve"> travaux pratiques (TP) permettant aux participants de savoir évaluer les performances d’un modèle de simulation numérique</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rPr>
      </w:pPr>
      <w:proofErr w:type="gramStart"/>
      <w:r>
        <w:rPr>
          <w:rFonts w:ascii="Calibri" w:eastAsia="Calibri" w:hAnsi="Calibri" w:cs="Calibri"/>
          <w:color w:val="0F1115"/>
          <w:sz w:val="24"/>
          <w:szCs w:val="24"/>
        </w:rPr>
        <w:t>des</w:t>
      </w:r>
      <w:proofErr w:type="gramEnd"/>
      <w:r>
        <w:rPr>
          <w:rFonts w:ascii="Calibri" w:eastAsia="Calibri" w:hAnsi="Calibri" w:cs="Calibri"/>
          <w:color w:val="0F1115"/>
          <w:sz w:val="24"/>
          <w:szCs w:val="24"/>
        </w:rPr>
        <w:t xml:space="preserve"> échanges interactifs, favorisant le partage d’expériences sur les défis liés au HPC, la mutualisat</w:t>
      </w:r>
      <w:r>
        <w:rPr>
          <w:rFonts w:ascii="Calibri" w:eastAsia="Calibri" w:hAnsi="Calibri" w:cs="Calibri"/>
          <w:color w:val="0F1115"/>
          <w:sz w:val="24"/>
          <w:szCs w:val="24"/>
        </w:rPr>
        <w:t>ion des bonnes pratiques, et l’accompagnement personnalisé dans la mise en œuvre de projets réels.</w:t>
      </w:r>
    </w:p>
    <w:p w:rsidR="002B308A" w:rsidRDefault="002B308A">
      <w:pPr>
        <w:shd w:val="clear" w:color="auto" w:fill="FFFFFF"/>
        <w:spacing w:before="120" w:after="120" w:line="240" w:lineRule="auto"/>
        <w:ind w:left="720"/>
        <w:jc w:val="both"/>
        <w:rPr>
          <w:rFonts w:ascii="Calibri" w:eastAsia="Calibri" w:hAnsi="Calibri" w:cs="Calibri"/>
          <w:color w:val="0F1115"/>
          <w:sz w:val="24"/>
          <w:szCs w:val="24"/>
        </w:rPr>
      </w:pP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Conditions de participation</w:t>
      </w:r>
    </w:p>
    <w:p w:rsidR="002B308A" w:rsidRDefault="00E8247F">
      <w:pPr>
        <w:pStyle w:val="Titre2"/>
        <w:numPr>
          <w:ilvl w:val="1"/>
          <w:numId w:val="12"/>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Prérequis</w:t>
      </w:r>
    </w:p>
    <w:p w:rsidR="002B308A" w:rsidRDefault="00E8247F">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Les prérequis exigés sont :</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 xml:space="preserve">Connaissances de base en algèbre </w:t>
      </w:r>
      <w:proofErr w:type="gramStart"/>
      <w:r>
        <w:rPr>
          <w:rFonts w:ascii="Calibri" w:eastAsia="Calibri" w:hAnsi="Calibri" w:cs="Calibri"/>
          <w:color w:val="0F1115"/>
          <w:sz w:val="24"/>
          <w:szCs w:val="24"/>
          <w:highlight w:val="white"/>
        </w:rPr>
        <w:t>linéaire(</w:t>
      </w:r>
      <w:proofErr w:type="gramEnd"/>
      <w:r>
        <w:rPr>
          <w:rFonts w:ascii="Calibri" w:eastAsia="Calibri" w:hAnsi="Calibri" w:cs="Calibri"/>
          <w:color w:val="0F1115"/>
          <w:sz w:val="24"/>
          <w:szCs w:val="24"/>
          <w:highlight w:val="white"/>
        </w:rPr>
        <w:t>Espace vectoriels , Applications linéaires, Matrices ,..)</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Bases de la programmation en Python</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Base de programmation C/C++</w:t>
      </w:r>
    </w:p>
    <w:p w:rsidR="002B308A" w:rsidRDefault="00E8247F">
      <w:pPr>
        <w:numPr>
          <w:ilvl w:val="0"/>
          <w:numId w:val="6"/>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Compréhension générale des réseaux informatiques</w:t>
      </w:r>
    </w:p>
    <w:p w:rsidR="002B308A" w:rsidRDefault="002B308A">
      <w:pPr>
        <w:spacing w:after="160" w:line="259" w:lineRule="auto"/>
        <w:rPr>
          <w:rFonts w:ascii="Calibri" w:eastAsia="Calibri" w:hAnsi="Calibri" w:cs="Calibri"/>
        </w:rPr>
      </w:pPr>
    </w:p>
    <w:p w:rsidR="002B308A" w:rsidRDefault="00E8247F">
      <w:pPr>
        <w:pStyle w:val="Titre2"/>
        <w:numPr>
          <w:ilvl w:val="1"/>
          <w:numId w:val="12"/>
        </w:numPr>
        <w:spacing w:before="40" w:after="0" w:line="259" w:lineRule="auto"/>
        <w:rPr>
          <w:rFonts w:ascii="Calibri" w:eastAsia="Calibri" w:hAnsi="Calibri" w:cs="Calibri"/>
          <w:color w:val="2E75B5"/>
          <w:sz w:val="26"/>
          <w:szCs w:val="26"/>
        </w:rPr>
      </w:pPr>
      <w:r>
        <w:rPr>
          <w:rFonts w:ascii="Calibri" w:eastAsia="Calibri" w:hAnsi="Calibri" w:cs="Calibri"/>
          <w:color w:val="2E75B5"/>
          <w:sz w:val="26"/>
          <w:szCs w:val="26"/>
        </w:rPr>
        <w:t>Modalités de participation au séminaire de</w:t>
      </w:r>
      <w:r>
        <w:rPr>
          <w:rFonts w:ascii="Calibri" w:eastAsia="Calibri" w:hAnsi="Calibri" w:cs="Calibri"/>
          <w:color w:val="2E75B5"/>
          <w:sz w:val="26"/>
          <w:szCs w:val="26"/>
        </w:rPr>
        <w:t xml:space="preserve"> formation</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La participation à ce séminaire de formation est soumise à sélection, sur la base des inscriptions effectuées en ligne via le lien suivant :</w:t>
      </w:r>
    </w:p>
    <w:p w:rsidR="00E85F71" w:rsidRDefault="00E8247F">
      <w:pPr>
        <w:shd w:val="clear" w:color="auto" w:fill="FFFFFF"/>
        <w:spacing w:before="120" w:after="120" w:line="240" w:lineRule="auto"/>
        <w:jc w:val="both"/>
        <w:rPr>
          <w:rFonts w:ascii="Calibri" w:eastAsia="Calibri" w:hAnsi="Calibri" w:cs="Calibri"/>
          <w:b/>
          <w:bCs/>
          <w:color w:val="0F1115"/>
          <w:sz w:val="24"/>
          <w:szCs w:val="24"/>
        </w:rPr>
      </w:pPr>
      <w:r>
        <w:rPr>
          <w:rFonts w:ascii="Quattrocento Sans" w:eastAsia="Quattrocento Sans" w:hAnsi="Quattrocento Sans" w:cs="Quattrocento Sans"/>
          <w:b/>
          <w:bCs/>
          <w:color w:val="0F1115"/>
          <w:sz w:val="24"/>
          <w:szCs w:val="24"/>
        </w:rPr>
        <w:t>👉</w:t>
      </w:r>
      <w:r>
        <w:rPr>
          <w:rFonts w:ascii="Calibri" w:eastAsia="Calibri" w:hAnsi="Calibri" w:cs="Calibri"/>
          <w:b/>
          <w:bCs/>
          <w:color w:val="0F1115"/>
          <w:sz w:val="24"/>
          <w:szCs w:val="24"/>
        </w:rPr>
        <w:t xml:space="preserve"> Lien d′inscription : </w:t>
      </w:r>
      <w:hyperlink r:id="rId8" w:history="1">
        <w:r w:rsidR="00E85F71" w:rsidRPr="006B24D4">
          <w:rPr>
            <w:rStyle w:val="Lienhypertexte"/>
            <w:rFonts w:ascii="Calibri" w:eastAsia="Calibri" w:hAnsi="Calibri" w:cs="Calibri"/>
            <w:b/>
            <w:bCs/>
            <w:sz w:val="24"/>
            <w:szCs w:val="24"/>
          </w:rPr>
          <w:t>https://scolarite.uvci.online/main/public/paiement_seminaire</w:t>
        </w:r>
      </w:hyperlink>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Un Certificat de compétences est délivré à tous les participants ayant suivi l'intégralité de la formation et réussi les exercices pratiques. Le certi</w:t>
      </w:r>
      <w:r>
        <w:rPr>
          <w:rFonts w:ascii="Calibri" w:eastAsia="Calibri" w:hAnsi="Calibri" w:cs="Calibri"/>
          <w:color w:val="0F1115"/>
          <w:sz w:val="24"/>
          <w:szCs w:val="24"/>
        </w:rPr>
        <w:t>ficat sera délivré sous forme de copie numérique.</w:t>
      </w:r>
    </w:p>
    <w:p w:rsidR="002B308A" w:rsidRDefault="002B308A">
      <w:pPr>
        <w:shd w:val="clear" w:color="auto" w:fill="FFFFFF"/>
        <w:spacing w:before="120" w:after="120" w:line="240" w:lineRule="auto"/>
        <w:jc w:val="both"/>
        <w:rPr>
          <w:rFonts w:ascii="Calibri" w:eastAsia="Calibri" w:hAnsi="Calibri" w:cs="Calibri"/>
          <w:color w:val="0F1115"/>
          <w:sz w:val="24"/>
          <w:szCs w:val="24"/>
        </w:rPr>
      </w:pPr>
    </w:p>
    <w:p w:rsidR="002B308A" w:rsidRDefault="00E8247F">
      <w:pPr>
        <w:pStyle w:val="Titre2"/>
        <w:numPr>
          <w:ilvl w:val="1"/>
          <w:numId w:val="12"/>
        </w:numPr>
        <w:spacing w:before="40" w:after="0" w:line="259" w:lineRule="auto"/>
        <w:rPr>
          <w:rFonts w:ascii="Calibri" w:eastAsia="Calibri" w:hAnsi="Calibri" w:cs="Calibri"/>
          <w:color w:val="2E75B5"/>
          <w:sz w:val="24"/>
          <w:szCs w:val="24"/>
        </w:rPr>
      </w:pPr>
      <w:r>
        <w:rPr>
          <w:rFonts w:ascii="Calibri" w:eastAsia="Calibri" w:hAnsi="Calibri" w:cs="Calibri"/>
          <w:color w:val="2E75B5"/>
          <w:sz w:val="24"/>
          <w:szCs w:val="24"/>
        </w:rPr>
        <w:t>Frais de participation</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Les frais de participation au séminaire sont les </w:t>
      </w:r>
      <w:proofErr w:type="gramStart"/>
      <w:r>
        <w:rPr>
          <w:rFonts w:ascii="Calibri" w:eastAsia="Calibri" w:hAnsi="Calibri" w:cs="Calibri"/>
          <w:color w:val="0F1115"/>
          <w:sz w:val="24"/>
          <w:szCs w:val="24"/>
        </w:rPr>
        <w:t>suivants:</w:t>
      </w:r>
      <w:proofErr w:type="gramEnd"/>
    </w:p>
    <w:p w:rsidR="002B308A" w:rsidRDefault="00E8247F">
      <w:pPr>
        <w:numPr>
          <w:ilvl w:val="0"/>
          <w:numId w:val="3"/>
        </w:numPr>
        <w:shd w:val="clear" w:color="auto" w:fill="FFFFFF"/>
        <w:spacing w:before="120"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Etudiants en thèse ou en Master</w:t>
      </w:r>
      <w:proofErr w:type="gramStart"/>
      <w:r>
        <w:rPr>
          <w:rFonts w:ascii="Calibri" w:eastAsia="Calibri" w:hAnsi="Calibri" w:cs="Calibri"/>
          <w:b/>
          <w:bCs/>
          <w:color w:val="0F1115"/>
          <w:sz w:val="24"/>
          <w:szCs w:val="24"/>
        </w:rPr>
        <w:t xml:space="preserve">   :</w:t>
      </w:r>
      <w:proofErr w:type="gramEnd"/>
      <w:r>
        <w:rPr>
          <w:rFonts w:ascii="Calibri" w:eastAsia="Calibri" w:hAnsi="Calibri" w:cs="Calibri"/>
          <w:b/>
          <w:bCs/>
          <w:color w:val="0F1115"/>
          <w:sz w:val="24"/>
          <w:szCs w:val="24"/>
        </w:rPr>
        <w:t xml:space="preserve"> 50 000 F CFA</w:t>
      </w:r>
    </w:p>
    <w:p w:rsidR="002B308A" w:rsidRDefault="00E8247F">
      <w:pPr>
        <w:numPr>
          <w:ilvl w:val="0"/>
          <w:numId w:val="3"/>
        </w:numPr>
        <w:shd w:val="clear" w:color="auto" w:fill="FFFFFF"/>
        <w:spacing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 xml:space="preserve">Enseignants-chercheurs et </w:t>
      </w:r>
      <w:proofErr w:type="gramStart"/>
      <w:r>
        <w:rPr>
          <w:rFonts w:ascii="Calibri" w:eastAsia="Calibri" w:hAnsi="Calibri" w:cs="Calibri"/>
          <w:b/>
          <w:bCs/>
          <w:color w:val="0F1115"/>
          <w:sz w:val="24"/>
          <w:szCs w:val="24"/>
        </w:rPr>
        <w:t>PAT:</w:t>
      </w:r>
      <w:proofErr w:type="gramEnd"/>
      <w:r>
        <w:rPr>
          <w:rFonts w:ascii="Calibri" w:eastAsia="Calibri" w:hAnsi="Calibri" w:cs="Calibri"/>
          <w:b/>
          <w:bCs/>
          <w:color w:val="0F1115"/>
          <w:sz w:val="24"/>
          <w:szCs w:val="24"/>
        </w:rPr>
        <w:t xml:space="preserve"> 70 000 F CFA</w:t>
      </w:r>
    </w:p>
    <w:p w:rsidR="002B308A" w:rsidRDefault="00E8247F">
      <w:pPr>
        <w:numPr>
          <w:ilvl w:val="0"/>
          <w:numId w:val="3"/>
        </w:numPr>
        <w:shd w:val="clear" w:color="auto" w:fill="FFFFFF"/>
        <w:spacing w:after="120"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Autres institutions et professionnels : 100 000 F CFA</w:t>
      </w:r>
    </w:p>
    <w:p w:rsidR="002B308A" w:rsidRDefault="002B308A">
      <w:pPr>
        <w:shd w:val="clear" w:color="auto" w:fill="FFFFFF"/>
        <w:spacing w:before="120" w:after="120" w:line="240" w:lineRule="auto"/>
        <w:jc w:val="both"/>
        <w:rPr>
          <w:rFonts w:ascii="Calibri" w:eastAsia="Calibri" w:hAnsi="Calibri" w:cs="Calibri"/>
          <w:b/>
          <w:bCs/>
          <w:color w:val="0F1115"/>
          <w:sz w:val="24"/>
          <w:szCs w:val="24"/>
        </w:rPr>
      </w:pP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b/>
          <w:bCs/>
          <w:color w:val="0F1115"/>
          <w:sz w:val="24"/>
          <w:szCs w:val="24"/>
        </w:rPr>
        <w:t>Le règlement des frais de participation devra être effectué au plus tard le 27 Octobre 2026</w:t>
      </w:r>
      <w:r>
        <w:rPr>
          <w:rFonts w:ascii="Calibri" w:eastAsia="Calibri" w:hAnsi="Calibri" w:cs="Calibri"/>
          <w:color w:val="0F1115"/>
          <w:sz w:val="24"/>
          <w:szCs w:val="24"/>
        </w:rPr>
        <w:t> (délai strict), par l'un des moyens de paiement mobile suivants :</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Quattrocento Sans" w:eastAsia="Quattrocento Sans" w:hAnsi="Quattrocento Sans" w:cs="Quattrocento Sans"/>
          <w:color w:val="0F1115"/>
          <w:sz w:val="24"/>
          <w:szCs w:val="24"/>
        </w:rPr>
        <w:t>📱</w:t>
      </w:r>
      <w:r>
        <w:rPr>
          <w:rFonts w:ascii="Calibri" w:eastAsia="Calibri" w:hAnsi="Calibri" w:cs="Calibri"/>
          <w:color w:val="0F1115"/>
          <w:sz w:val="24"/>
          <w:szCs w:val="24"/>
        </w:rPr>
        <w:t xml:space="preserve"> Orange Money | MTN Money | MOOV Money | </w:t>
      </w:r>
      <w:r>
        <w:rPr>
          <w:rFonts w:ascii="Calibri" w:eastAsia="Calibri" w:hAnsi="Calibri" w:cs="Calibri"/>
          <w:color w:val="0F1115"/>
          <w:sz w:val="24"/>
          <w:szCs w:val="24"/>
        </w:rPr>
        <w:t>WAVE</w:t>
      </w:r>
    </w:p>
    <w:p w:rsidR="002B308A" w:rsidRDefault="00E8247F">
      <w:pPr>
        <w:shd w:val="clear" w:color="auto" w:fill="FFFFFF"/>
        <w:spacing w:before="120" w:after="120" w:line="240" w:lineRule="auto"/>
        <w:jc w:val="both"/>
        <w:rPr>
          <w:rFonts w:ascii="Calibri" w:eastAsia="Calibri" w:hAnsi="Calibri" w:cs="Calibri"/>
          <w:b/>
          <w:bCs/>
          <w:color w:val="0F1115"/>
          <w:sz w:val="24"/>
          <w:szCs w:val="24"/>
        </w:rPr>
      </w:pPr>
      <w:r>
        <w:rPr>
          <w:rFonts w:ascii="Quattrocento Sans" w:eastAsia="Quattrocento Sans" w:hAnsi="Quattrocento Sans" w:cs="Quattrocento Sans"/>
          <w:color w:val="0F1115"/>
          <w:sz w:val="24"/>
          <w:szCs w:val="24"/>
        </w:rPr>
        <w:lastRenderedPageBreak/>
        <w:t>👉</w:t>
      </w:r>
      <w:r>
        <w:rPr>
          <w:rFonts w:ascii="Calibri" w:eastAsia="Calibri" w:hAnsi="Calibri" w:cs="Calibri"/>
          <w:color w:val="0F1115"/>
          <w:sz w:val="24"/>
          <w:szCs w:val="24"/>
        </w:rPr>
        <w:t xml:space="preserve"> Lien  de paiement : </w:t>
      </w:r>
      <w:hyperlink r:id="rId9" w:history="1">
        <w:r w:rsidR="00E85F71" w:rsidRPr="006B24D4">
          <w:rPr>
            <w:rStyle w:val="Lienhypertexte"/>
            <w:rFonts w:ascii="Calibri" w:eastAsia="Calibri" w:hAnsi="Calibri" w:cs="Calibri"/>
            <w:b/>
            <w:bCs/>
            <w:sz w:val="24"/>
            <w:szCs w:val="24"/>
          </w:rPr>
          <w:t>https://scolarite.uvci.online/main/public/paiement_seminaire</w:t>
        </w:r>
      </w:hyperlink>
      <w:bookmarkStart w:id="0" w:name="_GoBack"/>
      <w:bookmarkEnd w:id="0"/>
    </w:p>
    <w:p w:rsidR="00E85F71" w:rsidRDefault="00E85F71">
      <w:pPr>
        <w:shd w:val="clear" w:color="auto" w:fill="FFFFFF"/>
        <w:spacing w:before="120" w:after="120" w:line="240" w:lineRule="auto"/>
        <w:jc w:val="both"/>
        <w:rPr>
          <w:rFonts w:ascii="Calibri" w:eastAsia="Calibri" w:hAnsi="Calibri" w:cs="Calibri"/>
          <w:color w:val="0F1115"/>
          <w:sz w:val="24"/>
          <w:szCs w:val="24"/>
        </w:rPr>
      </w:pPr>
    </w:p>
    <w:p w:rsidR="002B308A" w:rsidRDefault="00E8247F">
      <w:pPr>
        <w:shd w:val="clear" w:color="auto" w:fill="FFFFFF"/>
        <w:spacing w:before="120" w:after="120" w:line="240" w:lineRule="auto"/>
        <w:jc w:val="both"/>
        <w:rPr>
          <w:rFonts w:ascii="Calibri" w:eastAsia="Calibri" w:hAnsi="Calibri" w:cs="Calibri"/>
          <w:b/>
          <w:bCs/>
          <w:color w:val="0F1115"/>
          <w:sz w:val="24"/>
          <w:szCs w:val="24"/>
        </w:rPr>
      </w:pPr>
      <w:proofErr w:type="gramStart"/>
      <w:r>
        <w:rPr>
          <w:rFonts w:ascii="Calibri" w:eastAsia="Calibri" w:hAnsi="Calibri" w:cs="Calibri"/>
          <w:b/>
          <w:bCs/>
          <w:color w:val="0F1115"/>
          <w:sz w:val="24"/>
          <w:szCs w:val="24"/>
        </w:rPr>
        <w:t>NB:</w:t>
      </w:r>
      <w:proofErr w:type="gramEnd"/>
      <w:r>
        <w:rPr>
          <w:rFonts w:ascii="Calibri" w:eastAsia="Calibri" w:hAnsi="Calibri" w:cs="Calibri"/>
          <w:b/>
          <w:bCs/>
          <w:color w:val="0F1115"/>
          <w:sz w:val="24"/>
          <w:szCs w:val="24"/>
        </w:rPr>
        <w:t xml:space="preserve"> la participation est gratuite pour les étudiants régulièrement inscrits dans le Master HPC-IA</w:t>
      </w:r>
    </w:p>
    <w:p w:rsidR="002B308A" w:rsidRDefault="00E8247F">
      <w:pPr>
        <w:pStyle w:val="Titre1"/>
        <w:numPr>
          <w:ilvl w:val="0"/>
          <w:numId w:val="12"/>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Date et lieu</w:t>
      </w:r>
    </w:p>
    <w:p w:rsidR="002B308A" w:rsidRDefault="00E8247F">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La formation se déroule les </w:t>
      </w:r>
      <w:r>
        <w:rPr>
          <w:rFonts w:ascii="Calibri" w:eastAsia="Calibri" w:hAnsi="Calibri" w:cs="Calibri"/>
          <w:b/>
          <w:bCs/>
          <w:color w:val="0F1115"/>
          <w:sz w:val="24"/>
          <w:szCs w:val="24"/>
        </w:rPr>
        <w:t xml:space="preserve">29, 30 Octobre et 02, 03, 04 </w:t>
      </w:r>
      <w:proofErr w:type="gramStart"/>
      <w:r>
        <w:rPr>
          <w:rFonts w:ascii="Calibri" w:eastAsia="Calibri" w:hAnsi="Calibri" w:cs="Calibri"/>
          <w:b/>
          <w:bCs/>
          <w:color w:val="0F1115"/>
          <w:sz w:val="24"/>
          <w:szCs w:val="24"/>
        </w:rPr>
        <w:t>Novembre  2026</w:t>
      </w:r>
      <w:proofErr w:type="gramEnd"/>
      <w:r>
        <w:rPr>
          <w:rFonts w:ascii="Calibri" w:eastAsia="Calibri" w:hAnsi="Calibri" w:cs="Calibri"/>
          <w:b/>
          <w:bCs/>
          <w:color w:val="0F1115"/>
          <w:sz w:val="24"/>
          <w:szCs w:val="24"/>
        </w:rPr>
        <w:t xml:space="preserve"> </w:t>
      </w:r>
      <w:r>
        <w:rPr>
          <w:rFonts w:ascii="Calibri" w:eastAsia="Calibri" w:hAnsi="Calibri" w:cs="Calibri"/>
          <w:color w:val="0F1115"/>
          <w:sz w:val="24"/>
          <w:szCs w:val="24"/>
        </w:rPr>
        <w:t>en mode hybride(présentiel/ligne)  au siège de l’</w:t>
      </w:r>
      <w:proofErr w:type="spellStart"/>
      <w:r>
        <w:rPr>
          <w:rFonts w:ascii="Calibri" w:eastAsia="Calibri" w:hAnsi="Calibri" w:cs="Calibri"/>
          <w:color w:val="0F1115"/>
          <w:sz w:val="24"/>
          <w:szCs w:val="24"/>
        </w:rPr>
        <w:t>UVCi</w:t>
      </w:r>
      <w:proofErr w:type="spellEnd"/>
      <w:r>
        <w:rPr>
          <w:rFonts w:ascii="Calibri" w:eastAsia="Calibri" w:hAnsi="Calibri" w:cs="Calibri"/>
          <w:color w:val="0F1115"/>
          <w:sz w:val="24"/>
          <w:szCs w:val="24"/>
        </w:rPr>
        <w:t xml:space="preserve"> et au Centre National de Calcul de Côte d'Ivoire(CNCCI) selon la répartition suivante:</w:t>
      </w:r>
    </w:p>
    <w:p w:rsidR="002B308A" w:rsidRDefault="00E8247F">
      <w:pPr>
        <w:numPr>
          <w:ilvl w:val="0"/>
          <w:numId w:val="11"/>
        </w:numPr>
        <w:shd w:val="clear" w:color="auto" w:fill="FFFFFF"/>
        <w:spacing w:before="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Jeudi 29 Octobre 2026 - </w:t>
      </w:r>
      <w:proofErr w:type="gramStart"/>
      <w:r>
        <w:rPr>
          <w:rFonts w:ascii="Calibri" w:eastAsia="Calibri" w:hAnsi="Calibri" w:cs="Calibri"/>
          <w:color w:val="0F1115"/>
          <w:sz w:val="24"/>
          <w:szCs w:val="24"/>
        </w:rPr>
        <w:t>Vendredi  30</w:t>
      </w:r>
      <w:proofErr w:type="gramEnd"/>
      <w:r>
        <w:rPr>
          <w:rFonts w:ascii="Calibri" w:eastAsia="Calibri" w:hAnsi="Calibri" w:cs="Calibri"/>
          <w:color w:val="0F1115"/>
          <w:sz w:val="24"/>
          <w:szCs w:val="24"/>
        </w:rPr>
        <w:t xml:space="preserve"> octobr</w:t>
      </w:r>
      <w:r>
        <w:rPr>
          <w:rFonts w:ascii="Calibri" w:eastAsia="Calibri" w:hAnsi="Calibri" w:cs="Calibri"/>
          <w:color w:val="0F1115"/>
          <w:sz w:val="24"/>
          <w:szCs w:val="24"/>
        </w:rPr>
        <w:t>e 2026: Siège de l’UVCI</w:t>
      </w:r>
    </w:p>
    <w:p w:rsidR="002B308A" w:rsidRDefault="00E8247F">
      <w:pPr>
        <w:numPr>
          <w:ilvl w:val="0"/>
          <w:numId w:val="11"/>
        </w:numPr>
        <w:shd w:val="clear" w:color="auto" w:fill="FFFFFF"/>
        <w:spacing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Lundi 02 Novembre 2026 - Mercredi 04 </w:t>
      </w:r>
      <w:proofErr w:type="gramStart"/>
      <w:r>
        <w:rPr>
          <w:rFonts w:ascii="Calibri" w:eastAsia="Calibri" w:hAnsi="Calibri" w:cs="Calibri"/>
          <w:color w:val="0F1115"/>
          <w:sz w:val="24"/>
          <w:szCs w:val="24"/>
        </w:rPr>
        <w:t>Novembre  2026</w:t>
      </w:r>
      <w:proofErr w:type="gramEnd"/>
      <w:r>
        <w:rPr>
          <w:rFonts w:ascii="Calibri" w:eastAsia="Calibri" w:hAnsi="Calibri" w:cs="Calibri"/>
          <w:color w:val="0F1115"/>
          <w:sz w:val="24"/>
          <w:szCs w:val="24"/>
        </w:rPr>
        <w:t>: Centre National de calcul de Côte d'Ivoire (CNCCI)</w:t>
      </w:r>
    </w:p>
    <w:p w:rsidR="002B308A" w:rsidRDefault="002B308A">
      <w:pPr>
        <w:spacing w:line="240" w:lineRule="auto"/>
        <w:jc w:val="both"/>
        <w:rPr>
          <w:rFonts w:ascii="Calibri" w:eastAsia="Calibri" w:hAnsi="Calibri" w:cs="Calibri"/>
        </w:rPr>
      </w:pPr>
    </w:p>
    <w:p w:rsidR="002B308A" w:rsidRDefault="002B308A">
      <w:pPr>
        <w:spacing w:line="240" w:lineRule="auto"/>
        <w:jc w:val="both"/>
        <w:rPr>
          <w:rFonts w:ascii="Calibri" w:eastAsia="Calibri" w:hAnsi="Calibri" w:cs="Calibri"/>
        </w:rPr>
      </w:pPr>
    </w:p>
    <w:p w:rsidR="002B308A" w:rsidRDefault="002B308A">
      <w:pPr>
        <w:spacing w:line="240" w:lineRule="auto"/>
        <w:jc w:val="both"/>
        <w:rPr>
          <w:rFonts w:ascii="Calibri" w:eastAsia="Calibri" w:hAnsi="Calibri" w:cs="Calibri"/>
        </w:rPr>
      </w:pPr>
    </w:p>
    <w:p w:rsidR="002B308A" w:rsidRDefault="002B308A"/>
    <w:p w:rsidR="002B308A" w:rsidRDefault="002B308A"/>
    <w:p w:rsidR="002B308A" w:rsidRDefault="002B308A"/>
    <w:p w:rsidR="002B308A" w:rsidRDefault="002B308A"/>
    <w:p w:rsidR="002B308A" w:rsidRDefault="002B308A"/>
    <w:sectPr w:rsidR="002B308A">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47F" w:rsidRDefault="00E8247F">
      <w:pPr>
        <w:spacing w:line="240" w:lineRule="auto"/>
      </w:pPr>
      <w:r>
        <w:separator/>
      </w:r>
    </w:p>
  </w:endnote>
  <w:endnote w:type="continuationSeparator" w:id="0">
    <w:p w:rsidR="00E8247F" w:rsidRDefault="00E82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526885-9679-4EF1-B832-0B9AF5D66270}"/>
    <w:embedBold r:id="rId2" w:fontKey="{5BBE74BD-5169-4AB3-AC26-4DC71C43C303}"/>
    <w:embedBoldItalic r:id="rId3" w:fontKey="{3E3F54DC-92A2-4AEE-9452-A0BD4F2753EF}"/>
  </w:font>
  <w:font w:name="Noto Sans Symbols">
    <w:charset w:val="00"/>
    <w:family w:val="auto"/>
    <w:pitch w:val="default"/>
    <w:embedRegular r:id="rId4" w:fontKey="{F89EE838-7FAD-4C08-B14E-D6035CAC0CE3}"/>
  </w:font>
  <w:font w:name="Quattrocento Sans">
    <w:charset w:val="00"/>
    <w:family w:val="auto"/>
    <w:pitch w:val="default"/>
    <w:embedRegular r:id="rId5" w:fontKey="{4053ADBB-7DBF-475E-BF8D-F0401A33CE11}"/>
    <w:embedBold r:id="rId6" w:fontKey="{926881A4-CF48-43B1-B385-D72260AC2F05}"/>
  </w:font>
  <w:font w:name="Cambria">
    <w:panose1 w:val="02040503050406030204"/>
    <w:charset w:val="00"/>
    <w:family w:val="roman"/>
    <w:pitch w:val="variable"/>
    <w:sig w:usb0="E00006FF" w:usb1="420024FF" w:usb2="02000000" w:usb3="00000000" w:csb0="0000019F" w:csb1="00000000"/>
    <w:embedRegular r:id="rId7" w:fontKey="{057CBF08-3E02-48C8-A3CE-3DAA7609A428}"/>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47F" w:rsidRDefault="00E8247F">
      <w:pPr>
        <w:spacing w:line="240" w:lineRule="auto"/>
      </w:pPr>
      <w:r>
        <w:separator/>
      </w:r>
    </w:p>
  </w:footnote>
  <w:footnote w:type="continuationSeparator" w:id="0">
    <w:p w:rsidR="00E8247F" w:rsidRDefault="00E82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08A" w:rsidRDefault="002B308A">
    <w:pPr>
      <w:widowControl w:val="0"/>
      <w:rPr>
        <w:rFonts w:ascii="Calibri" w:eastAsia="Calibri" w:hAnsi="Calibri" w:cs="Calibri"/>
      </w:rPr>
    </w:pPr>
  </w:p>
  <w:tbl>
    <w:tblPr>
      <w:tblStyle w:val="a4"/>
      <w:tblW w:w="9638"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464"/>
      <w:gridCol w:w="2148"/>
      <w:gridCol w:w="1956"/>
      <w:gridCol w:w="1416"/>
      <w:gridCol w:w="1238"/>
      <w:gridCol w:w="1416"/>
    </w:tblGrid>
    <w:tr w:rsidR="002B308A">
      <w:tc>
        <w:tcPr>
          <w:tcW w:w="1464" w:type="dxa"/>
        </w:tcPr>
        <w:p w:rsidR="002B308A" w:rsidRDefault="00E8247F">
          <w:pPr>
            <w:spacing w:after="160" w:line="259" w:lineRule="auto"/>
            <w:rPr>
              <w:rFonts w:ascii="Calibri" w:eastAsia="Calibri" w:hAnsi="Calibri" w:cs="Calibri"/>
            </w:rPr>
          </w:pPr>
          <w:bookmarkStart w:id="1" w:name="_8i9g9zk28bp4" w:colFirst="0" w:colLast="0"/>
          <w:bookmarkEnd w:id="1"/>
          <w:r>
            <w:rPr>
              <w:noProof/>
              <w:lang w:val="fr-FR"/>
            </w:rPr>
            <w:drawing>
              <wp:anchor distT="0" distB="0" distL="114300" distR="114300" simplePos="0" relativeHeight="251658240" behindDoc="0" locked="0" layoutInCell="1" hidden="0" allowOverlap="1">
                <wp:simplePos x="0" y="0"/>
                <wp:positionH relativeFrom="column">
                  <wp:posOffset>1911</wp:posOffset>
                </wp:positionH>
                <wp:positionV relativeFrom="paragraph">
                  <wp:posOffset>88265</wp:posOffset>
                </wp:positionV>
                <wp:extent cx="660400" cy="597535"/>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60400" cy="597535"/>
                        </a:xfrm>
                        <a:prstGeom prst="rect">
                          <a:avLst/>
                        </a:prstGeom>
                        <a:ln/>
                      </pic:spPr>
                    </pic:pic>
                  </a:graphicData>
                </a:graphic>
              </wp:anchor>
            </w:drawing>
          </w:r>
        </w:p>
      </w:tc>
      <w:tc>
        <w:tcPr>
          <w:tcW w:w="2148" w:type="dxa"/>
        </w:tcPr>
        <w:p w:rsidR="002B308A" w:rsidRDefault="00E8247F">
          <w:pPr>
            <w:spacing w:after="160" w:line="259" w:lineRule="auto"/>
            <w:rPr>
              <w:rFonts w:ascii="Calibri" w:eastAsia="Calibri" w:hAnsi="Calibri" w:cs="Calibri"/>
            </w:rPr>
          </w:pPr>
          <w:r>
            <w:rPr>
              <w:noProof/>
              <w:lang w:val="fr-FR"/>
            </w:rPr>
            <w:drawing>
              <wp:anchor distT="0" distB="0" distL="114300" distR="114300" simplePos="0" relativeHeight="251659264" behindDoc="0" locked="0" layoutInCell="1" hidden="0" allowOverlap="1">
                <wp:simplePos x="0" y="0"/>
                <wp:positionH relativeFrom="column">
                  <wp:posOffset>29849</wp:posOffset>
                </wp:positionH>
                <wp:positionV relativeFrom="paragraph">
                  <wp:posOffset>81915</wp:posOffset>
                </wp:positionV>
                <wp:extent cx="1226820" cy="547370"/>
                <wp:effectExtent l="0" t="0" r="0" b="0"/>
                <wp:wrapTopAndBottom distT="0" dist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226820" cy="547370"/>
                        </a:xfrm>
                        <a:prstGeom prst="rect">
                          <a:avLst/>
                        </a:prstGeom>
                        <a:ln/>
                      </pic:spPr>
                    </pic:pic>
                  </a:graphicData>
                </a:graphic>
              </wp:anchor>
            </w:drawing>
          </w:r>
        </w:p>
      </w:tc>
      <w:tc>
        <w:tcPr>
          <w:tcW w:w="1956" w:type="dxa"/>
        </w:tcPr>
        <w:p w:rsidR="002B308A" w:rsidRDefault="00E8247F">
          <w:pPr>
            <w:spacing w:after="160" w:line="259" w:lineRule="auto"/>
            <w:rPr>
              <w:rFonts w:ascii="Calibri" w:eastAsia="Calibri" w:hAnsi="Calibri" w:cs="Calibri"/>
            </w:rPr>
          </w:pPr>
          <w:r>
            <w:rPr>
              <w:noProof/>
              <w:lang w:val="fr-FR"/>
            </w:rPr>
            <w:drawing>
              <wp:anchor distT="0" distB="0" distL="114300" distR="114300" simplePos="0" relativeHeight="251660288" behindDoc="0" locked="0" layoutInCell="1" hidden="0" allowOverlap="1">
                <wp:simplePos x="0" y="0"/>
                <wp:positionH relativeFrom="column">
                  <wp:posOffset>26674</wp:posOffset>
                </wp:positionH>
                <wp:positionV relativeFrom="paragraph">
                  <wp:posOffset>0</wp:posOffset>
                </wp:positionV>
                <wp:extent cx="1099184" cy="558800"/>
                <wp:effectExtent l="0" t="0" r="0" b="0"/>
                <wp:wrapSquare wrapText="bothSides" distT="0" distB="0" distL="114300" distR="11430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1099184" cy="558800"/>
                        </a:xfrm>
                        <a:prstGeom prst="rect">
                          <a:avLst/>
                        </a:prstGeom>
                        <a:ln/>
                      </pic:spPr>
                    </pic:pic>
                  </a:graphicData>
                </a:graphic>
              </wp:anchor>
            </w:drawing>
          </w:r>
        </w:p>
      </w:tc>
      <w:tc>
        <w:tcPr>
          <w:tcW w:w="1416" w:type="dxa"/>
        </w:tcPr>
        <w:p w:rsidR="002B308A" w:rsidRDefault="00E8247F">
          <w:pPr>
            <w:spacing w:after="160" w:line="259" w:lineRule="auto"/>
            <w:rPr>
              <w:rFonts w:ascii="Calibri" w:eastAsia="Calibri" w:hAnsi="Calibri" w:cs="Calibri"/>
            </w:rPr>
          </w:pPr>
          <w:r>
            <w:rPr>
              <w:rFonts w:ascii="Calibri" w:eastAsia="Calibri" w:hAnsi="Calibri" w:cs="Calibri"/>
              <w:noProof/>
              <w:lang w:val="fr-FR"/>
            </w:rPr>
            <w:drawing>
              <wp:inline distT="0" distB="0" distL="0" distR="0">
                <wp:extent cx="762407" cy="693098"/>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762407" cy="693098"/>
                        </a:xfrm>
                        <a:prstGeom prst="rect">
                          <a:avLst/>
                        </a:prstGeom>
                        <a:ln/>
                      </pic:spPr>
                    </pic:pic>
                  </a:graphicData>
                </a:graphic>
              </wp:inline>
            </w:drawing>
          </w:r>
        </w:p>
      </w:tc>
      <w:tc>
        <w:tcPr>
          <w:tcW w:w="1238" w:type="dxa"/>
        </w:tcPr>
        <w:p w:rsidR="002B308A" w:rsidRDefault="00E8247F">
          <w:pPr>
            <w:spacing w:after="160" w:line="259" w:lineRule="auto"/>
            <w:rPr>
              <w:rFonts w:ascii="Calibri" w:eastAsia="Calibri" w:hAnsi="Calibri" w:cs="Calibri"/>
            </w:rPr>
          </w:pPr>
          <w:r>
            <w:rPr>
              <w:noProof/>
              <w:lang w:val="fr-FR"/>
            </w:rPr>
            <w:drawing>
              <wp:anchor distT="0" distB="0" distL="114300" distR="114300" simplePos="0" relativeHeight="251661312" behindDoc="0" locked="0" layoutInCell="1" hidden="0" allowOverlap="1">
                <wp:simplePos x="0" y="0"/>
                <wp:positionH relativeFrom="column">
                  <wp:posOffset>5085</wp:posOffset>
                </wp:positionH>
                <wp:positionV relativeFrom="paragraph">
                  <wp:posOffset>94615</wp:posOffset>
                </wp:positionV>
                <wp:extent cx="622300" cy="501650"/>
                <wp:effectExtent l="0" t="0" r="0" b="0"/>
                <wp:wrapTopAndBottom distT="0" dist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622300" cy="501650"/>
                        </a:xfrm>
                        <a:prstGeom prst="rect">
                          <a:avLst/>
                        </a:prstGeom>
                        <a:ln/>
                      </pic:spPr>
                    </pic:pic>
                  </a:graphicData>
                </a:graphic>
              </wp:anchor>
            </w:drawing>
          </w:r>
        </w:p>
      </w:tc>
      <w:tc>
        <w:tcPr>
          <w:tcW w:w="1416" w:type="dxa"/>
        </w:tcPr>
        <w:p w:rsidR="002B308A" w:rsidRDefault="00E8247F">
          <w:pPr>
            <w:spacing w:after="160" w:line="259" w:lineRule="auto"/>
            <w:rPr>
              <w:rFonts w:ascii="Calibri" w:eastAsia="Calibri" w:hAnsi="Calibri" w:cs="Calibri"/>
            </w:rPr>
          </w:pPr>
          <w:r>
            <w:rPr>
              <w:noProof/>
              <w:lang w:val="fr-FR"/>
            </w:rPr>
            <w:drawing>
              <wp:anchor distT="0" distB="0" distL="114300" distR="114300" simplePos="0" relativeHeight="251662336" behindDoc="0" locked="0" layoutInCell="1" hidden="0" allowOverlap="1">
                <wp:simplePos x="0" y="0"/>
                <wp:positionH relativeFrom="column">
                  <wp:posOffset>133985</wp:posOffset>
                </wp:positionH>
                <wp:positionV relativeFrom="paragraph">
                  <wp:posOffset>56515</wp:posOffset>
                </wp:positionV>
                <wp:extent cx="584200" cy="58420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84200" cy="584200"/>
                        </a:xfrm>
                        <a:prstGeom prst="rect">
                          <a:avLst/>
                        </a:prstGeom>
                        <a:ln/>
                      </pic:spPr>
                    </pic:pic>
                  </a:graphicData>
                </a:graphic>
              </wp:anchor>
            </w:drawing>
          </w:r>
        </w:p>
      </w:tc>
    </w:tr>
  </w:tbl>
  <w:p w:rsidR="002B308A" w:rsidRDefault="002B308A">
    <w:pPr>
      <w:tabs>
        <w:tab w:val="center" w:pos="4536"/>
        <w:tab w:val="right" w:pos="9072"/>
      </w:tabs>
      <w:spacing w:line="240" w:lineRule="auto"/>
      <w:rPr>
        <w:rFonts w:ascii="Calibri" w:eastAsia="Calibri" w:hAnsi="Calibri" w:cs="Calibri"/>
      </w:rPr>
    </w:pPr>
  </w:p>
  <w:p w:rsidR="002B308A" w:rsidRDefault="002B308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90D"/>
    <w:multiLevelType w:val="multilevel"/>
    <w:tmpl w:val="879263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912AB6"/>
    <w:multiLevelType w:val="multilevel"/>
    <w:tmpl w:val="A418C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691413"/>
    <w:multiLevelType w:val="multilevel"/>
    <w:tmpl w:val="83FA7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A55584"/>
    <w:multiLevelType w:val="multilevel"/>
    <w:tmpl w:val="043CF0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7937FB"/>
    <w:multiLevelType w:val="multilevel"/>
    <w:tmpl w:val="9774B0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6A61FA"/>
    <w:multiLevelType w:val="multilevel"/>
    <w:tmpl w:val="DF36A30E"/>
    <w:lvl w:ilvl="0">
      <w:start w:val="1"/>
      <w:numFmt w:val="decimal"/>
      <w:lvlText w:val="%1"/>
      <w:lvlJc w:val="left"/>
      <w:pPr>
        <w:ind w:left="716" w:hanging="432"/>
      </w:pPr>
      <w:rPr>
        <w:u w:val="none"/>
      </w:rPr>
    </w:lvl>
    <w:lvl w:ilvl="1">
      <w:start w:val="1"/>
      <w:numFmt w:val="decimal"/>
      <w:lvlText w:val="%1.%2"/>
      <w:lvlJc w:val="left"/>
      <w:pPr>
        <w:ind w:left="576" w:hanging="576"/>
      </w:pPr>
      <w:rPr>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6" w15:restartNumberingAfterBreak="0">
    <w:nsid w:val="552A755B"/>
    <w:multiLevelType w:val="multilevel"/>
    <w:tmpl w:val="D56879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5A573B5"/>
    <w:multiLevelType w:val="multilevel"/>
    <w:tmpl w:val="70669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8EF7F1B"/>
    <w:multiLevelType w:val="multilevel"/>
    <w:tmpl w:val="1B98F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02400B5"/>
    <w:multiLevelType w:val="multilevel"/>
    <w:tmpl w:val="878461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53261E1"/>
    <w:multiLevelType w:val="multilevel"/>
    <w:tmpl w:val="5F2A3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9C8480D"/>
    <w:multiLevelType w:val="multilevel"/>
    <w:tmpl w:val="A5FC1F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4"/>
  </w:num>
  <w:num w:numId="3">
    <w:abstractNumId w:val="1"/>
  </w:num>
  <w:num w:numId="4">
    <w:abstractNumId w:val="11"/>
  </w:num>
  <w:num w:numId="5">
    <w:abstractNumId w:val="6"/>
  </w:num>
  <w:num w:numId="6">
    <w:abstractNumId w:val="9"/>
  </w:num>
  <w:num w:numId="7">
    <w:abstractNumId w:val="10"/>
  </w:num>
  <w:num w:numId="8">
    <w:abstractNumId w:val="8"/>
  </w:num>
  <w:num w:numId="9">
    <w:abstractNumId w:val="0"/>
  </w:num>
  <w:num w:numId="10">
    <w:abstractNumId w:val="3"/>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08A"/>
    <w:rsid w:val="002B308A"/>
    <w:rsid w:val="00E8247F"/>
    <w:rsid w:val="00E85F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F1A17"/>
  <w15:docId w15:val="{591A9411-244A-494E-9E57-3AC0CB1B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4">
    <w:basedOn w:val="TableNormal"/>
    <w:tblPr>
      <w:tblStyleRowBandSize w:val="1"/>
      <w:tblStyleColBandSize w:val="1"/>
      <w:tblCellMar>
        <w:top w:w="0" w:type="dxa"/>
        <w:left w:w="115" w:type="dxa"/>
        <w:bottom w:w="0" w:type="dxa"/>
        <w:right w:w="115" w:type="dxa"/>
      </w:tblCellMar>
    </w:tblPr>
  </w:style>
  <w:style w:type="character" w:styleId="Lienhypertexte">
    <w:name w:val="Hyperlink"/>
    <w:basedOn w:val="Policepardfaut"/>
    <w:uiPriority w:val="99"/>
    <w:unhideWhenUsed/>
    <w:rsid w:val="00E85F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scolarite.uvci.online/main/public/paiement_seminaire" TargetMode="External"/><Relationship Id="rId3" Type="http://schemas.openxmlformats.org/officeDocument/2006/relationships/settings" Target="settings.xml"/><Relationship Id="rId7" Type="http://schemas.openxmlformats.org/officeDocument/2006/relationships/hyperlink" Target="https://scolarite.uvci.online/main/public/paiement_seminai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olarite.uvci.online/main/public/paiement_seminair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1650</Words>
  <Characters>9078</Characters>
  <Application>Microsoft Office Word</Application>
  <DocSecurity>0</DocSecurity>
  <Lines>75</Lines>
  <Paragraphs>21</Paragraphs>
  <ScaleCrop>false</ScaleCrop>
  <Company>HP</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ORDI_UVCI</cp:lastModifiedBy>
  <cp:revision>2</cp:revision>
  <dcterms:created xsi:type="dcterms:W3CDTF">2026-10-17T14:01:00Z</dcterms:created>
  <dcterms:modified xsi:type="dcterms:W3CDTF">2026-10-17T14:04:00Z</dcterms:modified>
</cp:coreProperties>
</file>